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ascii="宋体" w:hAnsi="宋体" w:eastAsia="宋体" w:cs="宋体"/>
          <w:b/>
          <w:bCs/>
          <w:i w:val="0"/>
          <w:iCs w:val="0"/>
          <w:color w:val="auto"/>
          <w:kern w:val="0"/>
          <w:sz w:val="18"/>
          <w:szCs w:val="18"/>
          <w:u w:val="none"/>
          <w:lang w:val="en-US" w:eastAsia="zh-CN" w:bidi="ar"/>
        </w:rPr>
      </w:pPr>
      <w:r>
        <w:rPr>
          <w:rFonts w:hint="eastAsia" w:ascii="方正小标宋简体" w:hAnsi="方正小标宋简体" w:eastAsia="方正小标宋简体" w:cs="方正小标宋简体"/>
          <w:b w:val="0"/>
          <w:bCs w:val="0"/>
          <w:i w:val="0"/>
          <w:iCs w:val="0"/>
          <w:color w:val="auto"/>
          <w:kern w:val="0"/>
          <w:sz w:val="44"/>
          <w:szCs w:val="44"/>
          <w:u w:val="none"/>
          <w:lang w:val="en-US" w:eastAsia="zh-CN" w:bidi="ar"/>
        </w:rPr>
        <w:t>2022年重大政策和重大项目绩效目标</w:t>
      </w:r>
    </w:p>
    <w:tbl>
      <w:tblPr>
        <w:tblStyle w:val="2"/>
        <w:tblW w:w="9641"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457"/>
        <w:gridCol w:w="457"/>
        <w:gridCol w:w="1176"/>
        <w:gridCol w:w="1626"/>
        <w:gridCol w:w="1258"/>
        <w:gridCol w:w="785"/>
        <w:gridCol w:w="1522"/>
        <w:gridCol w:w="838"/>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tblHeader/>
        </w:trPr>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主管单位</w:t>
            </w:r>
          </w:p>
        </w:tc>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项目名称</w:t>
            </w:r>
          </w:p>
        </w:tc>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资金总额（万元）</w:t>
            </w:r>
          </w:p>
        </w:tc>
        <w:tc>
          <w:tcPr>
            <w:tcW w:w="1626" w:type="dxa"/>
            <w:vMerge w:val="restart"/>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auto"/>
                <w:kern w:val="0"/>
                <w:sz w:val="24"/>
                <w:szCs w:val="24"/>
                <w:u w:val="none"/>
                <w:lang w:val="en-US" w:eastAsia="zh-CN" w:bidi="ar"/>
              </w:rPr>
            </w:pPr>
            <w:r>
              <w:rPr>
                <w:rFonts w:ascii="宋体" w:hAnsi="宋体" w:eastAsia="宋体" w:cs="宋体"/>
                <w:b/>
                <w:bCs/>
                <w:i w:val="0"/>
                <w:iCs w:val="0"/>
                <w:color w:val="auto"/>
                <w:kern w:val="0"/>
                <w:sz w:val="24"/>
                <w:szCs w:val="24"/>
                <w:u w:val="none"/>
                <w:lang w:val="en-US" w:eastAsia="zh-CN" w:bidi="ar"/>
              </w:rPr>
              <w:t>年度绩效</w:t>
            </w:r>
          </w:p>
          <w:p>
            <w:pPr>
              <w:keepNext w:val="0"/>
              <w:keepLines w:val="0"/>
              <w:widowControl/>
              <w:suppressLineNumbers w:val="0"/>
              <w:jc w:val="center"/>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目标</w:t>
            </w:r>
          </w:p>
        </w:tc>
        <w:tc>
          <w:tcPr>
            <w:tcW w:w="5925" w:type="dxa"/>
            <w:gridSpan w:val="5"/>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绩效指标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4" w:hRule="atLeast"/>
          <w:tblHeader/>
        </w:trPr>
        <w:tc>
          <w:tcPr>
            <w:tcW w:w="0" w:type="auto"/>
            <w:vMerge w:val="continue"/>
            <w:shd w:val="clear" w:color="auto" w:fill="auto"/>
            <w:vAlign w:val="center"/>
          </w:tcPr>
          <w:p>
            <w:pPr>
              <w:jc w:val="center"/>
              <w:rPr>
                <w:rFonts w:hint="eastAsia" w:ascii="宋体" w:hAnsi="宋体" w:eastAsia="宋体" w:cs="宋体"/>
                <w:b/>
                <w:bCs/>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b/>
                <w:bCs/>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b/>
                <w:bCs/>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b/>
                <w:bCs/>
                <w:i w:val="0"/>
                <w:iCs w:val="0"/>
                <w:color w:val="auto"/>
                <w:sz w:val="24"/>
                <w:szCs w:val="24"/>
                <w:u w:val="none"/>
              </w:rPr>
            </w:pPr>
          </w:p>
        </w:tc>
        <w:tc>
          <w:tcPr>
            <w:tcW w:w="1258" w:type="dxa"/>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一级指标</w:t>
            </w:r>
          </w:p>
        </w:tc>
        <w:tc>
          <w:tcPr>
            <w:tcW w:w="785" w:type="dxa"/>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二级指标</w:t>
            </w:r>
          </w:p>
        </w:tc>
        <w:tc>
          <w:tcPr>
            <w:tcW w:w="1522" w:type="dxa"/>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三级指标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指标值</w:t>
            </w:r>
          </w:p>
        </w:tc>
        <w:tc>
          <w:tcPr>
            <w:tcW w:w="1522" w:type="dxa"/>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指标值内容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60" w:hRule="atLeast"/>
        </w:trPr>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区委办</w:t>
            </w:r>
          </w:p>
        </w:tc>
        <w:tc>
          <w:tcPr>
            <w:tcW w:w="0" w:type="auto"/>
            <w:vMerge w:val="restart"/>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 xml:space="preserve">  社会管理创新</w:t>
            </w:r>
          </w:p>
        </w:tc>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1,280.00</w:t>
            </w:r>
          </w:p>
        </w:tc>
        <w:tc>
          <w:tcPr>
            <w:tcW w:w="1626" w:type="dxa"/>
            <w:vMerge w:val="restart"/>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进一步推进全区网格化管理，提升社会治理水平，引导社会力量参与全区社会治理，推进区级社会组织孵化基地及“三社联动”项目及团区委相关行动计划，引入专业社会组织入驻社区承接服务职能，形成共建、共享、共治的基层社区治理格局。</w:t>
            </w: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成本指标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经济成本指标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成本节约率</w:t>
            </w:r>
          </w:p>
        </w:tc>
        <w:tc>
          <w:tcPr>
            <w:tcW w:w="83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ascii="宋体" w:hAnsi="宋体" w:eastAsia="宋体" w:cs="宋体"/>
                <w:i w:val="0"/>
                <w:iCs w:val="0"/>
                <w:color w:val="auto"/>
                <w:kern w:val="0"/>
                <w:sz w:val="24"/>
                <w:szCs w:val="24"/>
                <w:u w:val="none"/>
                <w:lang w:val="en-US" w:eastAsia="zh-CN" w:bidi="ar"/>
              </w:rPr>
              <w:t>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主要考察项目执行过程中是否有效节约实施成本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9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满意度指标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服务对象满意度指标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服务对象满意度</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90%</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主要考察服务对象对社会管理创新经费相关工作的满意度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5"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restart"/>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产出指标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数量指标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社会管理创新经费金额</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1280</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主要考察社会管理创新经费是否超预算情况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5"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质量指标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社会管理创新经费使用达标率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主要考察社会管理创新经费是否专款专用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65"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产出指标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时效指标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社会管理创新经费下拨及时率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主要考察社会管理创新经费下拨是否及时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7"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restart"/>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效益指标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经济效益指标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不适用</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79"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社会效益指标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产生良好社会效益</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有效保障</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主要考察项目执行过程中是否有效保障了社会管理创新经费工作的正常运转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5" w:hRule="atLeast"/>
        </w:trPr>
        <w:tc>
          <w:tcPr>
            <w:tcW w:w="0" w:type="auto"/>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区数据资源中心</w:t>
            </w:r>
          </w:p>
        </w:tc>
        <w:tc>
          <w:tcPr>
            <w:tcW w:w="0" w:type="auto"/>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 xml:space="preserve">  电子政务建设专项经费及雪亮工程</w:t>
            </w:r>
          </w:p>
        </w:tc>
        <w:tc>
          <w:tcPr>
            <w:tcW w:w="0" w:type="auto"/>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1,300.00</w:t>
            </w:r>
          </w:p>
        </w:tc>
        <w:tc>
          <w:tcPr>
            <w:tcW w:w="162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 xml:space="preserve">按照三定文件，我中心需负责全区电子政务网络的建设、维护、管理、整合。雪亮工程项目建设开福区视频大数据中心，接入社会监控视频8000路，为10个区直部门、16个街道提供视频监控资源共享，开发基于视频大数据的视频分析平台，项目建成可为社会治安、城市管理、应急指挥、环境保护提供智能视频分析预警。 </w:t>
            </w:r>
          </w:p>
        </w:tc>
        <w:tc>
          <w:tcPr>
            <w:tcW w:w="125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产出指标</w:t>
            </w:r>
          </w:p>
        </w:tc>
        <w:tc>
          <w:tcPr>
            <w:tcW w:w="7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数量指标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电子政务平台建设完成率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该指标主要考察电子政务平台建设是否按要求完成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b/>
                <w:bCs/>
                <w:i w:val="0"/>
                <w:iCs w:val="0"/>
                <w:color w:val="auto"/>
                <w:sz w:val="24"/>
                <w:szCs w:val="24"/>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电子政务雪亮工程建设项目视频资源整合率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该指标主要考察雪亮工程视频资源整合是否按要求完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b/>
                <w:bCs/>
                <w:i w:val="0"/>
                <w:iCs w:val="0"/>
                <w:color w:val="auto"/>
                <w:sz w:val="24"/>
                <w:szCs w:val="24"/>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电子政务乡村雪亮工程新增监控设备完成率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乡村雪亮工程新增监控设备是否按要求完成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2"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b/>
                <w:bCs/>
                <w:i w:val="0"/>
                <w:iCs w:val="0"/>
                <w:color w:val="auto"/>
                <w:sz w:val="24"/>
                <w:szCs w:val="24"/>
                <w:u w:val="none"/>
              </w:rPr>
            </w:pPr>
          </w:p>
        </w:tc>
        <w:tc>
          <w:tcPr>
            <w:tcW w:w="7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质量指标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电子政务运维及工程合格率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该指标主要考察运维及工程是否按要求验收合格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30"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b/>
                <w:bCs/>
                <w:i w:val="0"/>
                <w:iCs w:val="0"/>
                <w:color w:val="auto"/>
                <w:sz w:val="24"/>
                <w:szCs w:val="24"/>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网络通信服务是否到标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该指标主要考察网络通信服务是否达标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3"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b/>
                <w:bCs/>
                <w:i w:val="0"/>
                <w:iCs w:val="0"/>
                <w:color w:val="auto"/>
                <w:sz w:val="24"/>
                <w:szCs w:val="24"/>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电子政务平台建设验收合格率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该指标主要考察平建设是否按要求验收合格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6"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b/>
                <w:bCs/>
                <w:i w:val="0"/>
                <w:iCs w:val="0"/>
                <w:color w:val="auto"/>
                <w:sz w:val="24"/>
                <w:szCs w:val="24"/>
                <w:u w:val="none"/>
              </w:rPr>
            </w:pPr>
          </w:p>
        </w:tc>
        <w:tc>
          <w:tcPr>
            <w:tcW w:w="7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时效指标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运维服务及时率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考察运维服务及时完成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5"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b/>
                <w:bCs/>
                <w:i w:val="0"/>
                <w:iCs w:val="0"/>
                <w:color w:val="auto"/>
                <w:sz w:val="24"/>
                <w:szCs w:val="24"/>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电子政务网络线路服务是否及时</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考察网络通线路服务是否及时到位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9"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b/>
                <w:bCs/>
                <w:i w:val="0"/>
                <w:iCs w:val="0"/>
                <w:color w:val="auto"/>
                <w:sz w:val="24"/>
                <w:szCs w:val="24"/>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电子政务信息化建设项目完成及时率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考察电子政务建设是否按要求完成验收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2"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成本指标</w:t>
            </w: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经济成本指标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成本节约率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主要考察项目执行过程是否有效节约成本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满意度指标</w:t>
            </w: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服务对象满意度指标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全区相关单位</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90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该指标主要考察全区相关单位对电子政务工作满意度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9"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效益指标</w:t>
            </w: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社会效益指标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保障全区电子政务相关工作正常运转</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有效保障</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主要考察该项目是否有效保障全区电子政务工作正常开展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6" w:hRule="atLeast"/>
        </w:trPr>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区农业农村局</w:t>
            </w:r>
          </w:p>
        </w:tc>
        <w:tc>
          <w:tcPr>
            <w:tcW w:w="0" w:type="auto"/>
            <w:vMerge w:val="restart"/>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 xml:space="preserve">  河长制工作经费</w:t>
            </w:r>
          </w:p>
        </w:tc>
        <w:tc>
          <w:tcPr>
            <w:tcW w:w="0" w:type="auto"/>
            <w:vMerge w:val="restart"/>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1,400.00</w:t>
            </w:r>
          </w:p>
        </w:tc>
        <w:tc>
          <w:tcPr>
            <w:tcW w:w="1626" w:type="dxa"/>
            <w:vMerge w:val="restart"/>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一江三河，湘江18.3公里，浏阳河11.2公里，捞刀河12.4公里，沙河2.2公里日常保洁，保洁人员投入70人；16街道河长办经费，用于巡河队员工资160余人、宣传资料、宣传活动、办公等专项工作，禁捕、退捕经费</w:t>
            </w: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成本指标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社会成本指标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不适用</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86"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restart"/>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产出指标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数量指标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实施范围</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主要考察浏阳河、沙河、捞刀河、湘江开福段水面保洁作业船、清洁工人数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9"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质量指标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作业频次</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主要考察各作业公司保洁频次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6"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时效指标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保洁到位的及时率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主要考察保洁及时性和完成性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8"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满意度指标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服务对象满意度指标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群众满意度</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主要考察群众满意度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2"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restart"/>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效益指标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经济效益指标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不适用</w:t>
            </w:r>
          </w:p>
        </w:tc>
        <w:tc>
          <w:tcPr>
            <w:tcW w:w="838" w:type="dxa"/>
            <w:shd w:val="clear" w:color="auto" w:fill="auto"/>
            <w:vAlign w:val="center"/>
          </w:tcPr>
          <w:p>
            <w:pPr>
              <w:jc w:val="center"/>
              <w:rPr>
                <w:rFonts w:hint="eastAsia" w:ascii="宋体" w:hAnsi="宋体" w:eastAsia="宋体" w:cs="宋体"/>
                <w:i w:val="0"/>
                <w:iCs w:val="0"/>
                <w:color w:val="auto"/>
                <w:sz w:val="24"/>
                <w:szCs w:val="24"/>
                <w:u w:val="none"/>
              </w:rPr>
            </w:pP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38"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社会效益指标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加快水系生态环境建设</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主要考察项目是否提升水环境、提高居民环保和护水意识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5"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vMerge w:val="restart"/>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生态效益指标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水系生态环境</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提升水系指标、保障居民安全用水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63"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vMerge w:val="continue"/>
            <w:shd w:val="clear" w:color="auto" w:fill="auto"/>
            <w:vAlign w:val="center"/>
          </w:tcPr>
          <w:p>
            <w:pPr>
              <w:jc w:val="left"/>
              <w:rPr>
                <w:rFonts w:hint="eastAsia" w:ascii="宋体" w:hAnsi="宋体" w:eastAsia="宋体" w:cs="宋体"/>
                <w:i w:val="0"/>
                <w:iCs w:val="0"/>
                <w:color w:val="auto"/>
                <w:sz w:val="24"/>
                <w:szCs w:val="24"/>
                <w:u w:val="none"/>
              </w:rPr>
            </w:pP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长效管理机制健全性</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主要考察项目执行过程中是否有长效管理机制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trPr>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区委组织部</w:t>
            </w:r>
          </w:p>
        </w:tc>
        <w:tc>
          <w:tcPr>
            <w:tcW w:w="0" w:type="auto"/>
            <w:vMerge w:val="restart"/>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 xml:space="preserve">  村级组织运行经费及党建经费</w:t>
            </w:r>
          </w:p>
        </w:tc>
        <w:tc>
          <w:tcPr>
            <w:tcW w:w="0" w:type="auto"/>
            <w:vMerge w:val="restart"/>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1,320.00</w:t>
            </w:r>
          </w:p>
        </w:tc>
        <w:tc>
          <w:tcPr>
            <w:tcW w:w="1626" w:type="dxa"/>
            <w:vMerge w:val="restart"/>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村级组织运行经费</w:t>
            </w:r>
          </w:p>
        </w:tc>
        <w:tc>
          <w:tcPr>
            <w:tcW w:w="1258" w:type="dxa"/>
            <w:vMerge w:val="restart"/>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成本指标</w:t>
            </w: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社会成本指标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社会成本损耗率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考察项目执行过程中是否损害过多社会成本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生态环境成本指标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生态环境破坏率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考察项目执行过程中是否破坏生态环境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经济成本指标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成本节约率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考察项目执行过程中是否有效节约实施成本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6"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restart"/>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效益指标</w:t>
            </w: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生态效益指标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对生态环境的影响</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根据实际情况</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考察村级组织在开展工作过程中是否对生态环境造成破坏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经济效益指标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对经济发展促进作用</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80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考察是否对乡村经济发展发挥作用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社会效益指标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促进社会和谐稳定</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考察村级组织所在辖区是否和谐稳定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满意度指标</w:t>
            </w: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服务对象满意度指标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群众满意度</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90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考察群众的满意度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restart"/>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产出指标</w:t>
            </w: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数量指标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下拨经费村级组织数量</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50个</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考察经费下拨的村级组织数量情况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时效指标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经费下拨及时率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95</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考察项目经费下拨是否及时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质量指标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经费下拨使用情况</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95</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考察项目经费是否按照规定要求使用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1" w:hRule="atLeast"/>
        </w:trPr>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区教育局</w:t>
            </w:r>
          </w:p>
        </w:tc>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普惠性幼儿园奖补资金</w:t>
            </w:r>
          </w:p>
        </w:tc>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2,237.34</w:t>
            </w:r>
          </w:p>
        </w:tc>
        <w:tc>
          <w:tcPr>
            <w:tcW w:w="1626" w:type="dxa"/>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学前教育专项经费</w:t>
            </w: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成本指标</w:t>
            </w: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社会成本指标</w:t>
            </w:r>
          </w:p>
        </w:tc>
        <w:tc>
          <w:tcPr>
            <w:tcW w:w="15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成本节约率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0</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考察项目执行过程中是否有效节约实施成本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restart"/>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产出指标</w:t>
            </w:r>
          </w:p>
        </w:tc>
        <w:tc>
          <w:tcPr>
            <w:tcW w:w="7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质量指标</w:t>
            </w:r>
          </w:p>
        </w:tc>
        <w:tc>
          <w:tcPr>
            <w:tcW w:w="15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确保家庭经济困难幼儿完成学前教育</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主要考察项目工作达标率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5"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jc w:val="left"/>
              <w:rPr>
                <w:rFonts w:hint="eastAsia" w:ascii="宋体" w:hAnsi="宋体" w:eastAsia="宋体" w:cs="宋体"/>
                <w:b/>
                <w:bCs/>
                <w:i w:val="0"/>
                <w:iCs w:val="0"/>
                <w:color w:val="auto"/>
                <w:sz w:val="24"/>
                <w:szCs w:val="24"/>
                <w:u w:val="none"/>
              </w:rPr>
            </w:pPr>
          </w:p>
        </w:tc>
        <w:tc>
          <w:tcPr>
            <w:tcW w:w="78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auto"/>
                <w:sz w:val="24"/>
                <w:szCs w:val="24"/>
                <w:u w:val="none"/>
              </w:rPr>
            </w:pPr>
          </w:p>
        </w:tc>
        <w:tc>
          <w:tcPr>
            <w:tcW w:w="15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扩大普惠性学前资源，保障适龄儿童接受基本的、有质量的学前教育</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主要考察项目工作达标率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5"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jc w:val="left"/>
              <w:rPr>
                <w:rFonts w:hint="eastAsia" w:ascii="宋体" w:hAnsi="宋体" w:eastAsia="宋体" w:cs="宋体"/>
                <w:b/>
                <w:bCs/>
                <w:i w:val="0"/>
                <w:iCs w:val="0"/>
                <w:color w:val="auto"/>
                <w:sz w:val="24"/>
                <w:szCs w:val="24"/>
                <w:u w:val="none"/>
              </w:rPr>
            </w:pPr>
          </w:p>
        </w:tc>
        <w:tc>
          <w:tcPr>
            <w:tcW w:w="78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auto"/>
                <w:sz w:val="24"/>
                <w:szCs w:val="24"/>
                <w:u w:val="none"/>
              </w:rPr>
            </w:pPr>
          </w:p>
        </w:tc>
        <w:tc>
          <w:tcPr>
            <w:tcW w:w="15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进一步扩大公办学前教育资源，大幅提升公办园“广覆盖、保基本”的能力</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主要考察项目工作达标率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jc w:val="left"/>
              <w:rPr>
                <w:rFonts w:hint="eastAsia" w:ascii="宋体" w:hAnsi="宋体" w:eastAsia="宋体" w:cs="宋体"/>
                <w:b/>
                <w:bCs/>
                <w:i w:val="0"/>
                <w:iCs w:val="0"/>
                <w:color w:val="auto"/>
                <w:sz w:val="24"/>
                <w:szCs w:val="24"/>
                <w:u w:val="none"/>
              </w:rPr>
            </w:pPr>
          </w:p>
        </w:tc>
        <w:tc>
          <w:tcPr>
            <w:tcW w:w="7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数量指标</w:t>
            </w:r>
          </w:p>
        </w:tc>
        <w:tc>
          <w:tcPr>
            <w:tcW w:w="15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对普惠性民办幼儿园进行奖补</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96</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工作任务是否按要求完成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jc w:val="left"/>
              <w:rPr>
                <w:rFonts w:hint="eastAsia" w:ascii="宋体" w:hAnsi="宋体" w:eastAsia="宋体" w:cs="宋体"/>
                <w:b/>
                <w:bCs/>
                <w:i w:val="0"/>
                <w:iCs w:val="0"/>
                <w:color w:val="auto"/>
                <w:sz w:val="24"/>
                <w:szCs w:val="24"/>
                <w:u w:val="none"/>
              </w:rPr>
            </w:pPr>
          </w:p>
        </w:tc>
        <w:tc>
          <w:tcPr>
            <w:tcW w:w="78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auto"/>
                <w:sz w:val="24"/>
                <w:szCs w:val="24"/>
                <w:u w:val="none"/>
              </w:rPr>
            </w:pPr>
          </w:p>
        </w:tc>
        <w:tc>
          <w:tcPr>
            <w:tcW w:w="15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对小区配套幼儿园委托公办补助</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96</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工作任务是否按要求完成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5"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jc w:val="left"/>
              <w:rPr>
                <w:rFonts w:hint="eastAsia" w:ascii="宋体" w:hAnsi="宋体" w:eastAsia="宋体" w:cs="宋体"/>
                <w:b/>
                <w:bCs/>
                <w:i w:val="0"/>
                <w:iCs w:val="0"/>
                <w:color w:val="auto"/>
                <w:sz w:val="24"/>
                <w:szCs w:val="24"/>
                <w:u w:val="none"/>
              </w:rPr>
            </w:pPr>
          </w:p>
        </w:tc>
        <w:tc>
          <w:tcPr>
            <w:tcW w:w="78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auto"/>
                <w:sz w:val="24"/>
                <w:szCs w:val="24"/>
                <w:u w:val="none"/>
              </w:rPr>
            </w:pPr>
          </w:p>
        </w:tc>
        <w:tc>
          <w:tcPr>
            <w:tcW w:w="15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按照1000元/人/年对家庭经济困难幼儿进行补助完成率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工作任务是否按要求完成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jc w:val="left"/>
              <w:rPr>
                <w:rFonts w:hint="eastAsia" w:ascii="宋体" w:hAnsi="宋体" w:eastAsia="宋体" w:cs="宋体"/>
                <w:b/>
                <w:bCs/>
                <w:i w:val="0"/>
                <w:iCs w:val="0"/>
                <w:color w:val="auto"/>
                <w:sz w:val="24"/>
                <w:szCs w:val="24"/>
                <w:u w:val="none"/>
              </w:rPr>
            </w:pPr>
          </w:p>
        </w:tc>
        <w:tc>
          <w:tcPr>
            <w:tcW w:w="78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auto"/>
                <w:sz w:val="24"/>
                <w:szCs w:val="24"/>
                <w:u w:val="none"/>
              </w:rPr>
            </w:pPr>
          </w:p>
        </w:tc>
        <w:tc>
          <w:tcPr>
            <w:tcW w:w="15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对普惠性民办幼儿园进行奖补</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96</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工作任务是否按要求完成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6"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jc w:val="left"/>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时效指标</w:t>
            </w:r>
          </w:p>
        </w:tc>
        <w:tc>
          <w:tcPr>
            <w:tcW w:w="15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项目工作开展及时率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考察项目工作开展及时率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效益指标</w:t>
            </w: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社会效益指标</w:t>
            </w:r>
          </w:p>
        </w:tc>
        <w:tc>
          <w:tcPr>
            <w:tcW w:w="15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缓解学位紧缺状况，完善小区幼儿园配套</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有效缓解</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主要考察该项目是否有效缓解学位紧缺状况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满意度指标</w:t>
            </w: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服务对象满意度指标</w:t>
            </w:r>
          </w:p>
        </w:tc>
        <w:tc>
          <w:tcPr>
            <w:tcW w:w="15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社会公众满意度</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90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该指标主要考察社会公众对项目实施效果的满意度情况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区委宣传部</w:t>
            </w:r>
          </w:p>
        </w:tc>
        <w:tc>
          <w:tcPr>
            <w:tcW w:w="0" w:type="auto"/>
            <w:vMerge w:val="restart"/>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文化创意经费</w:t>
            </w:r>
          </w:p>
        </w:tc>
        <w:tc>
          <w:tcPr>
            <w:tcW w:w="0" w:type="auto"/>
            <w:vMerge w:val="restart"/>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428.00</w:t>
            </w:r>
          </w:p>
        </w:tc>
        <w:tc>
          <w:tcPr>
            <w:tcW w:w="1626" w:type="dxa"/>
            <w:vMerge w:val="restart"/>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继续探索与省市国有文艺院团合作，创作并推动更多文艺精品进学校，进机关，进社区，进农村。举办文化惠民活动，提升我区文化发展实力和文化形象。</w:t>
            </w:r>
          </w:p>
        </w:tc>
        <w:tc>
          <w:tcPr>
            <w:tcW w:w="1258" w:type="dxa"/>
            <w:vMerge w:val="restart"/>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产出指标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数量指标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文化惠民演出场次</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8次</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文化惠民活动演出次数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时效指标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演出及时率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是否按照约定时间完成全部演出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质量指标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演出验收通过率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各个演出是否顺利完成并验收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效益指标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社会效益指标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扩大文化活动影响范围</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有效保障</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活动举办是否获得市级以上媒体报道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成本指标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经济成本指标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成本节约率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0</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考察项目执行过程中是否有效节约实施成本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满意度指标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服务对象满意度指标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群众满意度</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80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群众对文化活动内容的满意度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区民政局</w:t>
            </w:r>
          </w:p>
        </w:tc>
        <w:tc>
          <w:tcPr>
            <w:tcW w:w="0" w:type="auto"/>
            <w:vMerge w:val="restart"/>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 xml:space="preserve">  居家养老经费</w:t>
            </w:r>
          </w:p>
        </w:tc>
        <w:tc>
          <w:tcPr>
            <w:tcW w:w="0" w:type="auto"/>
            <w:vMerge w:val="restart"/>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680.00</w:t>
            </w:r>
          </w:p>
        </w:tc>
        <w:tc>
          <w:tcPr>
            <w:tcW w:w="1626" w:type="dxa"/>
            <w:vMerge w:val="restart"/>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湖南省人民政府办公厅关于推进养老服务高质量发展的实施意见  湘政办发〔2020〕59号 、安联网建设。湖南省人民政府办公厅关于推进养老服务高质量发展的实施意见  湘政办发〔2020〕59号》、《虚似养老院：预算150万元（区级财政）。关于区政协五届七次会议第18号重点提。</w:t>
            </w:r>
          </w:p>
        </w:tc>
        <w:tc>
          <w:tcPr>
            <w:tcW w:w="1258" w:type="dxa"/>
            <w:vMerge w:val="restart"/>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产出指标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数量指标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养老服务机构</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67个</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主要考察养老服务机构情况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时效指标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养老服务机构补贴及时率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主要考察养老服务机构补贴是否发放及时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质量指标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养老服务机构补贴达标率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主要考察养老服务机构补贴是否符合文件规定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成本指标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经济成本指标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成本节约率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0</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主要考察项目执行过程中是否有效节约实施成本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满意度指标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服务对象满意度指标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养老机构人员满意度</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90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主要考察养老机构人员满意度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效益指标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社会效益指标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保障养老机构得到有效补贴</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有效保障</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主要考察该项目是否有效保障养老服务机构得到有效补贴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65" w:hRule="atLeast"/>
        </w:trPr>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区教育局</w:t>
            </w:r>
          </w:p>
        </w:tc>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 xml:space="preserve">  委托管理公办园补助经费</w:t>
            </w:r>
          </w:p>
        </w:tc>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1,378.28</w:t>
            </w:r>
          </w:p>
        </w:tc>
        <w:tc>
          <w:tcPr>
            <w:tcW w:w="162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为深入贯彻《中共中央国务院关于学前教育深化改革规范发展的若干意见》（中发〔2018〕39号）精神，持续推进学前教育改革发展，着力解决当前“入公办园难、入民办园贵”等问题，确保幼有所育。根据长沙市教育局《关于报送增加公办幼儿园学位工作实施方案的通知》和《2020年长沙市教育局学前教育工作要点》，要求“各区县（市）要按照公办园在园幼儿占比达到50%的目标制定实施方案和2020-2021年项目规划”。2020 年 4 月 23 日区教育局印发了《开福区增加公办幼儿园学位工作实施方案》，力争2021年公办在园幼儿占比达到50%，力争学前教育三年毛入园率达99.80%的工作目标。</w:t>
            </w: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效益指标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社会效益指标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缓解学位紧缺状况，完善小区幼儿园配套</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有效缓解</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主要考察该项目是否有效缓解学位紧缺状况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满意度指标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服务对象满意度指标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社会公众满意度</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90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该指标主要考察社会公众对项目实施效果的满意度情况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8"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restart"/>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产出指标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数量指标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对委托管理公办园补助</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工作任务是否按要求完成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9"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质量指标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进一步扩大公办学前教育资源，大幅提升公办园“广覆盖、保基本”的能力</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主要考察项目工作达标率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时效指标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项目工作开展及时率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考察项目工作开展及时率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0"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成本指标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经济成本指标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成本节约率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0</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考察项目执行过程中是否有效节约实施成本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区民政局</w:t>
            </w:r>
          </w:p>
        </w:tc>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 xml:space="preserve">  基层办公用房建设资金</w:t>
            </w:r>
          </w:p>
        </w:tc>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800.00</w:t>
            </w:r>
          </w:p>
        </w:tc>
        <w:tc>
          <w:tcPr>
            <w:tcW w:w="1626" w:type="dxa"/>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1.34个社区办公用房达标提质建设，2.根据2019年区长办公会议确定的2020年重点民生实事办公用房项目18个；3.《开福区贯彻落实中共长沙市委〈关于深入实施“党建聚合力”工程以高质量党建引领高质量发展的意见（试行）〉任务分工表》（开办通知〔2021〕8号）文件第52条指出：“形成社区办公服务用房建设经费保障长效机制”。</w:t>
            </w:r>
          </w:p>
        </w:tc>
        <w:tc>
          <w:tcPr>
            <w:tcW w:w="1258" w:type="dxa"/>
            <w:vMerge w:val="restart"/>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产出指标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质量指标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社区办公用房提质建设达标情况</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主要考察社区办公用房提质建设是否政策文件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jc w:val="cente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数量指标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社区办公用房达标提质建设</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34个</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主要考察社区办公用房达标提质建设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jc w:val="cente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时效指标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社区办公用房达标提质建设及时情况</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主要考察社区办公用房达标提质建设是否及时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成本指标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经济成本指标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成本节约率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0</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主要考察项目执行过程中是否有效节约实施成本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满意度指标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服务对象满意度指标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社区对办公用房满意度</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90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主要考察各社区对办公用房的满意度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效益指标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社会效益指标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提升社区建设</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有效保障</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主要考察该项目是否提升社区建设品质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2" w:hRule="atLeast"/>
        </w:trPr>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区委组织部</w:t>
            </w:r>
          </w:p>
        </w:tc>
        <w:tc>
          <w:tcPr>
            <w:tcW w:w="0" w:type="auto"/>
            <w:vMerge w:val="restart"/>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 xml:space="preserve">  基层党建经费</w:t>
            </w:r>
          </w:p>
        </w:tc>
        <w:tc>
          <w:tcPr>
            <w:tcW w:w="0" w:type="auto"/>
            <w:vMerge w:val="restart"/>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1,900.00</w:t>
            </w:r>
          </w:p>
        </w:tc>
        <w:tc>
          <w:tcPr>
            <w:tcW w:w="1626" w:type="dxa"/>
            <w:vMerge w:val="restart"/>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保障基层党建工作顺利开展</w:t>
            </w:r>
          </w:p>
        </w:tc>
        <w:tc>
          <w:tcPr>
            <w:tcW w:w="1258" w:type="dxa"/>
            <w:vMerge w:val="restart"/>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效益指标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经济效益指标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2"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社会效益指标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产生良好社会效益</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考察对对社会进步的正面作用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2"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生态效益指标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满意度指标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服务对象满意度指标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群众满意度</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90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考察群众的满意度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restart"/>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产出指标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时效指标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工作及时率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考察工作完成及时率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2"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数量指标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工作开展情况</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考察党建工作完成情况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质量指标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达标率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考察工作达标率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01"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restart"/>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成本指标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生态环境成本指标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生态环境破坏率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0</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考察项目执行过程中是否破坏生态环境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01"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社会成本指标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社会成本损耗率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0</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考察项目执行过程中是否损害过多社会成本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01"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经济成本指标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成本节约率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0</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考察项目执行过程中是否有效节约实施成本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区卫健局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区卫健局</w:t>
            </w:r>
          </w:p>
        </w:tc>
        <w:tc>
          <w:tcPr>
            <w:tcW w:w="0" w:type="auto"/>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 xml:space="preserve">  公卫大楼及基层医疗卫生机构设备经费</w:t>
            </w:r>
          </w:p>
        </w:tc>
        <w:tc>
          <w:tcPr>
            <w:tcW w:w="0" w:type="auto"/>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1,500.00</w:t>
            </w:r>
          </w:p>
        </w:tc>
        <w:tc>
          <w:tcPr>
            <w:tcW w:w="162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区妇幼所搬迁入驻公卫中心，区疾控和妇幼实验室建设完成，仪器设备、办公家具、用品购买到位。为提升基层医疗卫生机构诊疗诊疗水平，提高基层医疗卫生机构服务能力，用于基层医疗卫生机构设备配备。</w:t>
            </w:r>
          </w:p>
        </w:tc>
        <w:tc>
          <w:tcPr>
            <w:tcW w:w="125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b/>
                <w:bCs/>
                <w:i w:val="0"/>
                <w:iCs w:val="0"/>
                <w:color w:val="auto"/>
                <w:sz w:val="21"/>
                <w:szCs w:val="21"/>
                <w:u w:val="none"/>
              </w:rPr>
            </w:pPr>
            <w:r>
              <w:rPr>
                <w:rFonts w:ascii="宋体" w:hAnsi="宋体" w:eastAsia="宋体" w:cs="宋体"/>
                <w:b/>
                <w:bCs/>
                <w:i w:val="0"/>
                <w:iCs w:val="0"/>
                <w:color w:val="auto"/>
                <w:kern w:val="0"/>
                <w:sz w:val="21"/>
                <w:szCs w:val="21"/>
                <w:u w:val="none"/>
                <w:lang w:val="en-US" w:eastAsia="zh-CN" w:bidi="ar"/>
              </w:rPr>
              <w:t>产出指标</w:t>
            </w:r>
          </w:p>
        </w:tc>
        <w:tc>
          <w:tcPr>
            <w:tcW w:w="7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质量指标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设备购置验收合格率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该指标主要考察设备购置是否按要求验收合格并资料归档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9"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bCs/>
                <w:i w:val="0"/>
                <w:iCs w:val="0"/>
                <w:color w:val="auto"/>
                <w:sz w:val="21"/>
                <w:szCs w:val="21"/>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auto"/>
                <w:sz w:val="21"/>
                <w:szCs w:val="21"/>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政府采购政策和各单位内控制度执行率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该指标主要考察设备购置是否按相关文件或制度要求执行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2"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bCs/>
                <w:i w:val="0"/>
                <w:iCs w:val="0"/>
                <w:color w:val="auto"/>
                <w:sz w:val="21"/>
                <w:szCs w:val="21"/>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auto"/>
                <w:sz w:val="21"/>
                <w:szCs w:val="21"/>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疾控、妇幼实验室验收合格率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主要考察疾控、妇幼实验室是否达到甲级实验室标准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bCs/>
                <w:i w:val="0"/>
                <w:iCs w:val="0"/>
                <w:color w:val="auto"/>
                <w:sz w:val="21"/>
                <w:szCs w:val="21"/>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auto"/>
                <w:sz w:val="21"/>
                <w:szCs w:val="21"/>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疾控妇幼仪器设备验收合格率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主要考察购置的医疗、检验检测设备是否验收合格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bCs/>
                <w:i w:val="0"/>
                <w:iCs w:val="0"/>
                <w:color w:val="auto"/>
                <w:sz w:val="21"/>
                <w:szCs w:val="21"/>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auto"/>
                <w:sz w:val="21"/>
                <w:szCs w:val="21"/>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疾控妇幼办公家具及用品达标率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主要考察购置的办公家具及用品是否达到使用标准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bCs/>
                <w:i w:val="0"/>
                <w:iCs w:val="0"/>
                <w:color w:val="auto"/>
                <w:sz w:val="21"/>
                <w:szCs w:val="21"/>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auto"/>
                <w:sz w:val="21"/>
                <w:szCs w:val="21"/>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政府采购政策和各单位内控制度执行率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该指标主要考察该项目是否按相关文件或制度要求执行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2"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bCs/>
                <w:i w:val="0"/>
                <w:iCs w:val="0"/>
                <w:color w:val="auto"/>
                <w:sz w:val="21"/>
                <w:szCs w:val="21"/>
                <w:u w:val="none"/>
              </w:rPr>
            </w:pPr>
          </w:p>
        </w:tc>
        <w:tc>
          <w:tcPr>
            <w:tcW w:w="7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时效指标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疾控、妇幼办公家具及用品购置及时率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该指标主要考察按合同约定时间完成办公家具及用品购置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bCs/>
                <w:i w:val="0"/>
                <w:iCs w:val="0"/>
                <w:color w:val="auto"/>
                <w:sz w:val="21"/>
                <w:szCs w:val="21"/>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auto"/>
                <w:sz w:val="21"/>
                <w:szCs w:val="21"/>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疾控、妇幼实验室装修竣工及时率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该指标主要考察按合同约定时间公卫中心是否全面投入使用(含实验室)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5"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bCs/>
                <w:i w:val="0"/>
                <w:iCs w:val="0"/>
                <w:color w:val="auto"/>
                <w:sz w:val="21"/>
                <w:szCs w:val="21"/>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auto"/>
                <w:sz w:val="21"/>
                <w:szCs w:val="21"/>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设备购置及时率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主要考察设备购置是否按照实际需求及时购置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2"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bCs/>
                <w:i w:val="0"/>
                <w:iCs w:val="0"/>
                <w:color w:val="auto"/>
                <w:sz w:val="21"/>
                <w:szCs w:val="21"/>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auto"/>
                <w:sz w:val="21"/>
                <w:szCs w:val="21"/>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疾控、妇幼仪器设备购置及时率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该指标主要考察是否按合同约定时间完成医疗、检验检测设备购置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59"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bCs/>
                <w:i w:val="0"/>
                <w:iCs w:val="0"/>
                <w:color w:val="auto"/>
                <w:sz w:val="21"/>
                <w:szCs w:val="21"/>
                <w:u w:val="none"/>
              </w:rPr>
            </w:pPr>
          </w:p>
        </w:tc>
        <w:tc>
          <w:tcPr>
            <w:tcW w:w="7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数量指标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基层医疗卫生机构按照局党组的会议通过并报主管区长同意的各单位的设备更新或配置数量采购完成率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该指标主要考察各中心设备购置情况是否按要求完成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90"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bCs/>
                <w:i w:val="0"/>
                <w:iCs w:val="0"/>
                <w:color w:val="auto"/>
                <w:sz w:val="21"/>
                <w:szCs w:val="21"/>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auto"/>
                <w:sz w:val="21"/>
                <w:szCs w:val="21"/>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疾控、妇幼实验室装修完成率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主要考察疾控实验室装修是否按要求完成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9"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bCs/>
                <w:i w:val="0"/>
                <w:iCs w:val="0"/>
                <w:color w:val="auto"/>
                <w:sz w:val="21"/>
                <w:szCs w:val="21"/>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auto"/>
                <w:sz w:val="21"/>
                <w:szCs w:val="21"/>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疾控妇幼办公家具及用品达标率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主要考察办公家具及用品购置是否按要求完成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9"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bCs/>
                <w:i w:val="0"/>
                <w:iCs w:val="0"/>
                <w:color w:val="auto"/>
                <w:sz w:val="21"/>
                <w:szCs w:val="21"/>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auto"/>
                <w:sz w:val="21"/>
                <w:szCs w:val="21"/>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疾控妇幼仪器设备购置率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100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主要考察医疗、检验检测设备购置是否按要求完成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b/>
                <w:bCs/>
                <w:i w:val="0"/>
                <w:iCs w:val="0"/>
                <w:color w:val="auto"/>
                <w:sz w:val="21"/>
                <w:szCs w:val="21"/>
                <w:u w:val="none"/>
              </w:rPr>
            </w:pPr>
            <w:r>
              <w:rPr>
                <w:rFonts w:ascii="宋体" w:hAnsi="宋体" w:eastAsia="宋体" w:cs="宋体"/>
                <w:b/>
                <w:bCs/>
                <w:i w:val="0"/>
                <w:iCs w:val="0"/>
                <w:color w:val="auto"/>
                <w:kern w:val="0"/>
                <w:sz w:val="21"/>
                <w:szCs w:val="21"/>
                <w:u w:val="none"/>
                <w:lang w:val="en-US" w:eastAsia="zh-CN" w:bidi="ar"/>
              </w:rPr>
              <w:t>效益指标</w:t>
            </w: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经济效益指标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医疗（检查或化验）收入增加</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1</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该指标主要考察设备购置促进基层医疗卫生机构医疗收入增长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9"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auto"/>
                <w:sz w:val="21"/>
                <w:szCs w:val="21"/>
                <w:u w:val="none"/>
              </w:rPr>
            </w:pPr>
          </w:p>
        </w:tc>
        <w:tc>
          <w:tcPr>
            <w:tcW w:w="7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社会效益指标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提升全区疫情防控能力，促进全区公共卫生事业发展</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有效提升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该指标主要考察公卫中心高标准实验室投入使用，是否提升全区疫情防控能力，促进公共卫生事业发展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2"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auto"/>
                <w:sz w:val="21"/>
                <w:szCs w:val="21"/>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auto"/>
                <w:sz w:val="21"/>
                <w:szCs w:val="21"/>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医疗服务能力提升</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有效提升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主要考察该项目是否有效提升医疗服务能力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59"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auto"/>
                <w:sz w:val="21"/>
                <w:szCs w:val="21"/>
                <w:u w:val="none"/>
              </w:rPr>
            </w:pPr>
          </w:p>
        </w:tc>
        <w:tc>
          <w:tcPr>
            <w:tcW w:w="7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社会效益指标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长效管理机制健全性</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健全</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该指标主要考察基层医疗卫生机构是否建立健全的长效管理机制，机制是否完整。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b/>
                <w:bCs/>
                <w:i w:val="0"/>
                <w:iCs w:val="0"/>
                <w:color w:val="auto"/>
                <w:sz w:val="21"/>
                <w:szCs w:val="21"/>
                <w:u w:val="none"/>
              </w:rPr>
            </w:pPr>
            <w:r>
              <w:rPr>
                <w:rFonts w:ascii="宋体" w:hAnsi="宋体" w:eastAsia="宋体" w:cs="宋体"/>
                <w:b/>
                <w:bCs/>
                <w:i w:val="0"/>
                <w:iCs w:val="0"/>
                <w:color w:val="auto"/>
                <w:kern w:val="0"/>
                <w:sz w:val="21"/>
                <w:szCs w:val="21"/>
                <w:u w:val="none"/>
                <w:lang w:val="en-US" w:eastAsia="zh-CN" w:bidi="ar"/>
              </w:rPr>
              <w:t>满意度指标</w:t>
            </w:r>
          </w:p>
        </w:tc>
        <w:tc>
          <w:tcPr>
            <w:tcW w:w="7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服务对象满意度指标</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辖区群众满意度</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90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主要考察辖区居民群众对公共卫生事业满意度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b/>
                <w:bCs/>
                <w:i w:val="0"/>
                <w:iCs w:val="0"/>
                <w:color w:val="auto"/>
                <w:sz w:val="21"/>
                <w:szCs w:val="21"/>
                <w:u w:val="none"/>
              </w:rPr>
            </w:pPr>
          </w:p>
        </w:tc>
        <w:tc>
          <w:tcPr>
            <w:tcW w:w="7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auto"/>
                <w:sz w:val="21"/>
                <w:szCs w:val="21"/>
                <w:u w:val="none"/>
              </w:rPr>
            </w:pP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就医对象满意度</w:t>
            </w:r>
          </w:p>
        </w:tc>
        <w:tc>
          <w:tcPr>
            <w:tcW w:w="8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90</w:t>
            </w:r>
            <w:r>
              <w:rPr>
                <w:rFonts w:hint="eastAsia" w:ascii="宋体" w:hAnsi="宋体" w:eastAsia="宋体" w:cs="宋体"/>
                <w:i w:val="0"/>
                <w:iCs w:val="0"/>
                <w:color w:val="auto"/>
                <w:kern w:val="0"/>
                <w:sz w:val="21"/>
                <w:szCs w:val="21"/>
                <w:u w:val="none"/>
                <w:lang w:val="en-US" w:eastAsia="zh-CN" w:bidi="ar"/>
              </w:rPr>
              <w:t>%</w:t>
            </w:r>
          </w:p>
        </w:tc>
        <w:tc>
          <w:tcPr>
            <w:tcW w:w="15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该指标主要考察就医对象对中心运转的满意度情况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6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auto"/>
                <w:sz w:val="21"/>
                <w:szCs w:val="21"/>
                <w:u w:val="none"/>
              </w:rPr>
            </w:pPr>
          </w:p>
        </w:tc>
        <w:tc>
          <w:tcPr>
            <w:tcW w:w="125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b/>
                <w:bCs/>
                <w:i w:val="0"/>
                <w:iCs w:val="0"/>
                <w:color w:val="auto"/>
                <w:sz w:val="21"/>
                <w:szCs w:val="21"/>
                <w:u w:val="none"/>
              </w:rPr>
            </w:pPr>
            <w:r>
              <w:rPr>
                <w:rFonts w:ascii="宋体" w:hAnsi="宋体" w:eastAsia="宋体" w:cs="宋体"/>
                <w:b/>
                <w:bCs/>
                <w:i w:val="0"/>
                <w:iCs w:val="0"/>
                <w:color w:val="auto"/>
                <w:kern w:val="0"/>
                <w:sz w:val="21"/>
                <w:szCs w:val="21"/>
                <w:u w:val="none"/>
                <w:lang w:val="en-US" w:eastAsia="zh-CN" w:bidi="ar"/>
              </w:rPr>
              <w:t>成本指标</w:t>
            </w:r>
          </w:p>
        </w:tc>
        <w:tc>
          <w:tcPr>
            <w:tcW w:w="7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经济成本指标</w:t>
            </w:r>
          </w:p>
        </w:tc>
        <w:tc>
          <w:tcPr>
            <w:tcW w:w="152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成本节约率</w:t>
            </w:r>
          </w:p>
        </w:tc>
        <w:tc>
          <w:tcPr>
            <w:tcW w:w="83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0</w:t>
            </w:r>
          </w:p>
        </w:tc>
        <w:tc>
          <w:tcPr>
            <w:tcW w:w="152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ascii="宋体" w:hAnsi="宋体" w:eastAsia="宋体" w:cs="宋体"/>
                <w:i w:val="0"/>
                <w:iCs w:val="0"/>
                <w:color w:val="auto"/>
                <w:sz w:val="21"/>
                <w:szCs w:val="21"/>
                <w:u w:val="none"/>
              </w:rPr>
            </w:pPr>
            <w:r>
              <w:rPr>
                <w:rFonts w:ascii="宋体" w:hAnsi="宋体" w:eastAsia="宋体" w:cs="宋体"/>
                <w:i w:val="0"/>
                <w:iCs w:val="0"/>
                <w:color w:val="auto"/>
                <w:kern w:val="0"/>
                <w:sz w:val="21"/>
                <w:szCs w:val="21"/>
                <w:u w:val="none"/>
                <w:lang w:val="en-US" w:eastAsia="zh-CN" w:bidi="ar"/>
              </w:rPr>
              <w:t>主要考察项目执行过程中是否有效节约实施成本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522"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838"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522" w:type="dxa"/>
            <w:vMerge w:val="continue"/>
            <w:shd w:val="clear" w:color="auto" w:fill="auto"/>
            <w:vAlign w:val="center"/>
          </w:tcPr>
          <w:p>
            <w:pPr>
              <w:rPr>
                <w:rFonts w:hint="eastAsia" w:ascii="宋体" w:hAnsi="宋体" w:eastAsia="宋体" w:cs="宋体"/>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exact"/>
        </w:trPr>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区退役军人事务局</w:t>
            </w:r>
          </w:p>
        </w:tc>
        <w:tc>
          <w:tcPr>
            <w:tcW w:w="0" w:type="auto"/>
            <w:vMerge w:val="restart"/>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 xml:space="preserve">  伤残抚恤</w:t>
            </w:r>
          </w:p>
        </w:tc>
        <w:tc>
          <w:tcPr>
            <w:tcW w:w="0" w:type="auto"/>
            <w:vMerge w:val="restart"/>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2,300.00</w:t>
            </w:r>
          </w:p>
        </w:tc>
        <w:tc>
          <w:tcPr>
            <w:tcW w:w="1626" w:type="dxa"/>
            <w:vMerge w:val="restart"/>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按政策解决优抚对象生活待遇，让优抚对象100%满意,按规定发放病故军人一次性抚恤金,发放优抚补助金,伤残抚恤金,   安排重点优抚对象按照6500元/人的标准短期疗养6批*30人/批.</w:t>
            </w: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成本指标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经济成本指标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成本节约率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0</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主要考察项目执行过程中是否有效节约实施成本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exac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restart"/>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产出指标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数量指标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重点优抚对象短期疗养次数</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6次</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该指标主要考察重点优抚对象短期疗养次数是否达标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exac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时效指标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伤残抚恤金发放及时率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该指标主要考察伤残金发放是否及时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exac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质量指标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伤残抚恤金使用合格率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该指标主要考察伤残金发放是否符合政策规定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exac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满意度指标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服务对象满意度指标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优抚对象满意度</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95</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该指标主要考察优抚对象对伤残金发放的满意度情况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4" w:hRule="exac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right"/>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效益指标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社会效益指标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保障优抚对象待遇</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有效保障</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主要考察优抚对象的待遇是否得到保障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65" w:hRule="atLeast"/>
        </w:trPr>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区农业农村局</w:t>
            </w:r>
          </w:p>
        </w:tc>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乡村振兴</w:t>
            </w:r>
          </w:p>
        </w:tc>
        <w:tc>
          <w:tcPr>
            <w:tcW w:w="0" w:type="auto"/>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1000</w:t>
            </w:r>
          </w:p>
        </w:tc>
        <w:tc>
          <w:tcPr>
            <w:tcW w:w="1626" w:type="dxa"/>
            <w:vMerge w:val="restart"/>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打造美丽宜居村</w:t>
            </w: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成本指标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生态环境成本指标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农村生态环境保护</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整主要考察治村容村貌、有效管理农村生活垃圾污染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1"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restart"/>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产出指标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数量指标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实施范围</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主要考察项目10个宜居乡村达标率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90"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质量指标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实施目的</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主要考察是否督查10个村考核考评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时效指标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项目期限</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主要考察项目在1-12月份及时完成绿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满意度指标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服务对象满意度指标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农民</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群众满意度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restart"/>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auto"/>
                <w:sz w:val="24"/>
                <w:szCs w:val="24"/>
                <w:u w:val="none"/>
              </w:rPr>
            </w:pPr>
            <w:r>
              <w:rPr>
                <w:rFonts w:ascii="宋体" w:hAnsi="宋体" w:eastAsia="宋体" w:cs="宋体"/>
                <w:b/>
                <w:bCs/>
                <w:i w:val="0"/>
                <w:iCs w:val="0"/>
                <w:color w:val="auto"/>
                <w:kern w:val="0"/>
                <w:sz w:val="24"/>
                <w:szCs w:val="24"/>
                <w:u w:val="none"/>
                <w:lang w:val="en-US" w:eastAsia="zh-CN" w:bidi="ar"/>
              </w:rPr>
              <w:t>效益指标</w:t>
            </w: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经济效益指标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促进项目区经济发展</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主要考察项目执行过程中是否有带动农业增收、农民增收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社会效益指标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加快统筹城张发展进程</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主要考察项目执行过程中是否提升农村人居环境水平率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0" w:type="auto"/>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626" w:type="dxa"/>
            <w:vMerge w:val="continue"/>
            <w:shd w:val="clear" w:color="auto" w:fill="auto"/>
            <w:vAlign w:val="center"/>
          </w:tcPr>
          <w:p>
            <w:pPr>
              <w:jc w:val="center"/>
              <w:rPr>
                <w:rFonts w:hint="eastAsia" w:ascii="宋体" w:hAnsi="宋体" w:eastAsia="宋体" w:cs="宋体"/>
                <w:i w:val="0"/>
                <w:iCs w:val="0"/>
                <w:color w:val="auto"/>
                <w:sz w:val="24"/>
                <w:szCs w:val="24"/>
                <w:u w:val="none"/>
              </w:rPr>
            </w:pPr>
          </w:p>
        </w:tc>
        <w:tc>
          <w:tcPr>
            <w:tcW w:w="1258" w:type="dxa"/>
            <w:vMerge w:val="continue"/>
            <w:shd w:val="clear" w:color="auto" w:fill="auto"/>
            <w:vAlign w:val="center"/>
          </w:tcPr>
          <w:p>
            <w:pPr>
              <w:rPr>
                <w:rFonts w:hint="eastAsia" w:ascii="宋体" w:hAnsi="宋体" w:eastAsia="宋体" w:cs="宋体"/>
                <w:b/>
                <w:bCs/>
                <w:i w:val="0"/>
                <w:iCs w:val="0"/>
                <w:color w:val="auto"/>
                <w:sz w:val="24"/>
                <w:szCs w:val="24"/>
                <w:u w:val="none"/>
              </w:rPr>
            </w:pPr>
          </w:p>
        </w:tc>
        <w:tc>
          <w:tcPr>
            <w:tcW w:w="785"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生态效益指标</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农村生态环境保护</w:t>
            </w:r>
          </w:p>
        </w:tc>
        <w:tc>
          <w:tcPr>
            <w:tcW w:w="838" w:type="dxa"/>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100</w:t>
            </w:r>
            <w:r>
              <w:rPr>
                <w:rFonts w:hint="eastAsia" w:ascii="宋体" w:hAnsi="宋体" w:eastAsia="宋体" w:cs="宋体"/>
                <w:i w:val="0"/>
                <w:iCs w:val="0"/>
                <w:color w:val="auto"/>
                <w:kern w:val="0"/>
                <w:sz w:val="24"/>
                <w:szCs w:val="24"/>
                <w:u w:val="none"/>
                <w:lang w:val="en-US" w:eastAsia="zh-CN" w:bidi="ar"/>
              </w:rPr>
              <w:t>%</w:t>
            </w:r>
          </w:p>
        </w:tc>
        <w:tc>
          <w:tcPr>
            <w:tcW w:w="1522" w:type="dxa"/>
            <w:shd w:val="clear" w:color="auto" w:fill="auto"/>
            <w:vAlign w:val="center"/>
          </w:tcPr>
          <w:p>
            <w:pPr>
              <w:keepNext w:val="0"/>
              <w:keepLines w:val="0"/>
              <w:widowControl/>
              <w:suppressLineNumbers w:val="0"/>
              <w:jc w:val="left"/>
              <w:textAlignment w:val="center"/>
              <w:rPr>
                <w:rFonts w:ascii="宋体" w:hAnsi="宋体" w:eastAsia="宋体" w:cs="宋体"/>
                <w:i w:val="0"/>
                <w:iCs w:val="0"/>
                <w:color w:val="auto"/>
                <w:sz w:val="24"/>
                <w:szCs w:val="24"/>
                <w:u w:val="none"/>
              </w:rPr>
            </w:pPr>
            <w:r>
              <w:rPr>
                <w:rFonts w:ascii="宋体" w:hAnsi="宋体" w:eastAsia="宋体" w:cs="宋体"/>
                <w:i w:val="0"/>
                <w:iCs w:val="0"/>
                <w:color w:val="auto"/>
                <w:kern w:val="0"/>
                <w:sz w:val="24"/>
                <w:szCs w:val="24"/>
                <w:u w:val="none"/>
                <w:lang w:val="en-US" w:eastAsia="zh-CN" w:bidi="ar"/>
              </w:rPr>
              <w:t>主要考察项目执行过程中是否加快村庄建设、促进乡村文明</w:t>
            </w:r>
          </w:p>
        </w:tc>
      </w:tr>
    </w:tbl>
    <w:p>
      <w:pPr>
        <w:rPr>
          <w:color w:val="auto"/>
        </w:rPr>
      </w:pPr>
    </w:p>
    <w:p>
      <w:pPr>
        <w:rPr>
          <w:color w:val="auto"/>
        </w:rPr>
      </w:pPr>
    </w:p>
    <w:tbl>
      <w:tblPr>
        <w:tblStyle w:val="2"/>
        <w:tblW w:w="98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2"/>
        <w:gridCol w:w="585"/>
        <w:gridCol w:w="865"/>
        <w:gridCol w:w="1374"/>
        <w:gridCol w:w="976"/>
        <w:gridCol w:w="949"/>
        <w:gridCol w:w="3216"/>
        <w:gridCol w:w="1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trPr>
        <w:tc>
          <w:tcPr>
            <w:tcW w:w="5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主管单位</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资金总额（万元）</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年度绩效目标</w:t>
            </w:r>
          </w:p>
        </w:tc>
        <w:tc>
          <w:tcPr>
            <w:tcW w:w="65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区人社局</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就业补助资金</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2719</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增城镇就业8200人，城镇登记失业率控制在4.5%以内，失业人员再就业7500人，就业困难人员再就业3700人，新增农村劳动力转移就业160人，参加就业见习90人，创业担保贷款发放1650万元，创业培训结课3700人次，职业技能培训补贴24900人次（其中农村转移就业劳动者培训200人次）。</w:t>
            </w:r>
          </w:p>
        </w:tc>
        <w:tc>
          <w:tcPr>
            <w:tcW w:w="976"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享受职业培训补贴人员数量（人次）</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享受职业技能鉴定补贴人员数量</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享受社会保险补贴人员数量</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享受公益性岗位补贴人员数量 </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享受就业见习补贴人员数量</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享受求职创业补贴</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享受一次性创业补贴</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享受其他就业补助支出</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创业担保贷款发放数量（万元）</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创业培训结课人次</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职业培训补贴发放准确率</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社会保险补贴发放准确率</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公益性岗位补贴发放准确率</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就业见习补贴发放准确率</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求职创业补贴发放准确率</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享受一次性创业补贴准确率</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享受其他就业补助支出准确率</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资金在规定的时间内下达率</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补贴资金在规定时间内支付到位率</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职业培训补贴人均标准</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职业技能鉴定补贴人均标准</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社会保险补贴人均标准</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8500.8/3726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公益性岗位补贴人均标准</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就业见习补贴人均标准</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疫情期间企业招用登记失业人员一次性吸纳就业补贴标准</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经济效益指标 </w:t>
            </w: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城镇新增就业人数</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年末城镇登记失业率</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年末高校毕业生总体就业率</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失业人员再就业人数</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就业困难人员再就业人数</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新增农村劳动力转移就业人数</w:t>
            </w:r>
          </w:p>
        </w:tc>
        <w:tc>
          <w:tcPr>
            <w:tcW w:w="1363"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零就业家庭帮扶率</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因就业问题发生重大群体性事件数量</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公共就业服务满意度</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b/>
                <w:bCs/>
                <w:i w:val="0"/>
                <w:iCs w:val="0"/>
                <w:color w:val="000000"/>
                <w:sz w:val="20"/>
                <w:szCs w:val="20"/>
                <w:u w:val="none"/>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32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就业扶持政策经办满意度</w:t>
            </w:r>
          </w:p>
        </w:tc>
        <w:tc>
          <w:tcPr>
            <w:tcW w:w="0" w:type="auto"/>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i w:val="0"/>
                <w:iCs w:val="0"/>
                <w:color w:val="000000"/>
                <w:sz w:val="18"/>
                <w:szCs w:val="18"/>
                <w:u w:val="none"/>
              </w:rPr>
            </w:pPr>
            <w:r>
              <w:rPr>
                <w:rFonts w:ascii="宋体" w:hAnsi="宋体" w:eastAsia="宋体" w:cs="宋体"/>
                <w:b/>
                <w:bCs/>
                <w:i w:val="0"/>
                <w:iCs w:val="0"/>
                <w:color w:val="000000"/>
                <w:kern w:val="0"/>
                <w:sz w:val="20"/>
                <w:szCs w:val="20"/>
                <w:u w:val="none"/>
                <w:lang w:val="en-US" w:eastAsia="zh-CN" w:bidi="ar"/>
              </w:rPr>
              <w:t>成本指标</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经济成本指标</w:t>
            </w:r>
          </w:p>
        </w:tc>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成本节约率</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w:t>
            </w:r>
          </w:p>
        </w:tc>
      </w:tr>
    </w:tbl>
    <w:p>
      <w:pPr>
        <w:rPr>
          <w:color w:val="auto"/>
        </w:rPr>
      </w:pPr>
    </w:p>
    <w:sectPr>
      <w:pgSz w:w="11906" w:h="16838"/>
      <w:pgMar w:top="1440" w:right="1134" w:bottom="1417"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ZGJjN2I1MDMwNDliZWM5N2E0NmJlZGIxMjc1OGUifQ=="/>
  </w:docVars>
  <w:rsids>
    <w:rsidRoot w:val="13563AFC"/>
    <w:rsid w:val="069A7B16"/>
    <w:rsid w:val="13563AFC"/>
    <w:rsid w:val="14866B22"/>
    <w:rsid w:val="1880507F"/>
    <w:rsid w:val="43336EFC"/>
    <w:rsid w:val="772938D5"/>
    <w:rsid w:val="7D6574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6274</Words>
  <Characters>6795</Characters>
  <Lines>0</Lines>
  <Paragraphs>0</Paragraphs>
  <TotalTime>7</TotalTime>
  <ScaleCrop>false</ScaleCrop>
  <LinksUpToDate>false</LinksUpToDate>
  <CharactersWithSpaces>6834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2022-08-25T03:50:00Z</dcterms:created>
  <dc:creator>江姣</dc:creator>
  <cp:lastModifiedBy>区国资办</cp:lastModifiedBy>
  <dcterms:modified xsi:type="dcterms:W3CDTF">2022-12-15T07:24:17Z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176049B7DB474E6EA3E13BC5A4AFEE7B</vt:lpwstr>
  </property>
</Properties>
</file>