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DE" w:rsidRPr="00E954DE" w:rsidRDefault="00E954DE" w:rsidP="00E954D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954DE">
        <w:rPr>
          <w:rFonts w:ascii="仿宋" w:eastAsia="仿宋" w:hAnsi="仿宋" w:hint="eastAsia"/>
          <w:sz w:val="28"/>
          <w:szCs w:val="28"/>
        </w:rPr>
        <w:t>开福区2019年度预算绩效管理开展情况：开福区预算绩效管理工作在区委、区政府的正确领导下</w:t>
      </w:r>
      <w:r w:rsidRPr="00E954DE">
        <w:rPr>
          <w:rFonts w:ascii="仿宋_GB2312" w:eastAsia="仿宋_GB2312" w:hint="eastAsia"/>
          <w:sz w:val="28"/>
          <w:szCs w:val="28"/>
        </w:rPr>
        <w:t>，</w:t>
      </w:r>
      <w:r w:rsidRPr="00E954DE">
        <w:rPr>
          <w:rFonts w:ascii="仿宋" w:eastAsia="仿宋" w:hAnsi="仿宋" w:hint="eastAsia"/>
          <w:sz w:val="28"/>
          <w:szCs w:val="28"/>
        </w:rPr>
        <w:t>制定了项目绩效实施办法，使财政支出绩效评价工作进一步规范，推进了工作的有序开展。2019年</w:t>
      </w:r>
      <w:r w:rsidRPr="00E954DE">
        <w:rPr>
          <w:rFonts w:ascii="仿宋_GB2312" w:eastAsia="仿宋_GB2312" w:hint="eastAsia"/>
          <w:sz w:val="28"/>
          <w:szCs w:val="28"/>
        </w:rPr>
        <w:t>通过抽查项目单位、调研项目情况、设计项目指标、实施现场评价、审核评价报告等一系列规范有序的程序，采用定量分析和定性分析相结合的方法，从预算的编制、执行、监督，项目的决策，资金的分配与使用，资金监督与管理及财务会计信息，项目组织管理、项目绩效完成等方面对全区</w:t>
      </w:r>
      <w:r w:rsidRPr="00E954DE">
        <w:rPr>
          <w:rFonts w:eastAsia="仿宋_GB2312" w:hint="eastAsia"/>
          <w:sz w:val="28"/>
          <w:szCs w:val="28"/>
        </w:rPr>
        <w:t>28</w:t>
      </w:r>
      <w:r w:rsidRPr="00E954DE">
        <w:rPr>
          <w:rFonts w:ascii="仿宋_GB2312" w:eastAsia="仿宋_GB2312" w:hint="eastAsia"/>
          <w:sz w:val="28"/>
          <w:szCs w:val="28"/>
        </w:rPr>
        <w:t>个财政支出项目进行了综合评价，涉及绩效评价资金共计</w:t>
      </w:r>
      <w:r w:rsidRPr="00E954DE">
        <w:rPr>
          <w:rFonts w:eastAsia="仿宋_GB2312" w:hint="eastAsia"/>
          <w:sz w:val="28"/>
          <w:szCs w:val="28"/>
        </w:rPr>
        <w:t>36772.07</w:t>
      </w:r>
      <w:r w:rsidRPr="00E954DE">
        <w:rPr>
          <w:rFonts w:ascii="仿宋_GB2312" w:eastAsia="仿宋_GB2312" w:hint="eastAsia"/>
          <w:sz w:val="28"/>
          <w:szCs w:val="28"/>
        </w:rPr>
        <w:t>万元，其中</w:t>
      </w:r>
      <w:r w:rsidRPr="00E954DE">
        <w:rPr>
          <w:rFonts w:ascii="仿宋" w:eastAsia="仿宋" w:hAnsi="仿宋"/>
          <w:sz w:val="28"/>
          <w:szCs w:val="28"/>
        </w:rPr>
        <w:t>部门整体支出评价</w:t>
      </w:r>
      <w:r w:rsidRPr="00E954DE">
        <w:rPr>
          <w:rFonts w:eastAsia="仿宋_GB2312" w:hint="eastAsia"/>
          <w:sz w:val="28"/>
          <w:szCs w:val="28"/>
        </w:rPr>
        <w:t>5</w:t>
      </w:r>
      <w:r w:rsidRPr="00E954DE">
        <w:rPr>
          <w:rFonts w:ascii="仿宋" w:eastAsia="仿宋" w:hAnsi="仿宋"/>
          <w:sz w:val="28"/>
          <w:szCs w:val="28"/>
        </w:rPr>
        <w:t>个，金额共计</w:t>
      </w:r>
      <w:r w:rsidRPr="00E954DE">
        <w:rPr>
          <w:rFonts w:eastAsia="仿宋_GB2312" w:hint="eastAsia"/>
          <w:sz w:val="28"/>
          <w:szCs w:val="28"/>
        </w:rPr>
        <w:t>17436.82</w:t>
      </w:r>
      <w:r w:rsidRPr="00E954DE">
        <w:rPr>
          <w:rFonts w:ascii="仿宋" w:eastAsia="仿宋" w:hAnsi="仿宋" w:hint="eastAsia"/>
          <w:sz w:val="28"/>
          <w:szCs w:val="28"/>
        </w:rPr>
        <w:t>万元、公共专项支出评价</w:t>
      </w:r>
      <w:r w:rsidRPr="00E954DE">
        <w:rPr>
          <w:rFonts w:eastAsia="仿宋_GB2312" w:hint="eastAsia"/>
          <w:sz w:val="28"/>
          <w:szCs w:val="28"/>
        </w:rPr>
        <w:t>23</w:t>
      </w:r>
      <w:r w:rsidRPr="00E954DE">
        <w:rPr>
          <w:rFonts w:ascii="仿宋" w:eastAsia="仿宋" w:hAnsi="仿宋" w:hint="eastAsia"/>
          <w:sz w:val="28"/>
          <w:szCs w:val="28"/>
        </w:rPr>
        <w:t>个，金额共计</w:t>
      </w:r>
      <w:r w:rsidRPr="00E954DE">
        <w:rPr>
          <w:rFonts w:eastAsia="仿宋_GB2312" w:hint="eastAsia"/>
          <w:sz w:val="28"/>
          <w:szCs w:val="28"/>
        </w:rPr>
        <w:t>19335.25</w:t>
      </w:r>
      <w:r w:rsidRPr="00E954DE">
        <w:rPr>
          <w:rFonts w:ascii="仿宋" w:eastAsia="仿宋" w:hAnsi="仿宋" w:hint="eastAsia"/>
          <w:sz w:val="28"/>
          <w:szCs w:val="28"/>
        </w:rPr>
        <w:t>万元，评价</w:t>
      </w:r>
      <w:r w:rsidRPr="00E954DE">
        <w:rPr>
          <w:rFonts w:ascii="仿宋" w:eastAsia="仿宋" w:hAnsi="仿宋"/>
          <w:sz w:val="28"/>
          <w:szCs w:val="28"/>
        </w:rPr>
        <w:t>项目数较</w:t>
      </w:r>
      <w:r w:rsidRPr="00E954DE">
        <w:rPr>
          <w:rFonts w:ascii="仿宋" w:eastAsia="仿宋" w:hAnsi="仿宋" w:hint="eastAsia"/>
          <w:sz w:val="28"/>
          <w:szCs w:val="28"/>
        </w:rPr>
        <w:t>2018年</w:t>
      </w:r>
      <w:r w:rsidRPr="00E954DE">
        <w:rPr>
          <w:rFonts w:ascii="仿宋" w:eastAsia="仿宋" w:hAnsi="仿宋"/>
          <w:sz w:val="28"/>
          <w:szCs w:val="28"/>
        </w:rPr>
        <w:t>增长</w:t>
      </w:r>
      <w:r w:rsidRPr="00E954DE">
        <w:rPr>
          <w:rFonts w:eastAsia="仿宋_GB2312" w:hint="eastAsia"/>
          <w:sz w:val="28"/>
          <w:szCs w:val="28"/>
        </w:rPr>
        <w:t>27.27%</w:t>
      </w:r>
      <w:r w:rsidRPr="00E954DE">
        <w:rPr>
          <w:rFonts w:eastAsia="仿宋_GB2312" w:hint="eastAsia"/>
          <w:sz w:val="28"/>
          <w:szCs w:val="28"/>
        </w:rPr>
        <w:t>，</w:t>
      </w:r>
      <w:r w:rsidRPr="00E954DE">
        <w:rPr>
          <w:rFonts w:ascii="仿宋" w:eastAsia="仿宋" w:hAnsi="仿宋" w:hint="eastAsia"/>
          <w:sz w:val="28"/>
          <w:szCs w:val="28"/>
        </w:rPr>
        <w:t>评</w:t>
      </w:r>
      <w:r w:rsidRPr="00E954DE">
        <w:rPr>
          <w:rFonts w:ascii="仿宋" w:eastAsia="仿宋" w:hAnsi="仿宋"/>
          <w:sz w:val="28"/>
          <w:szCs w:val="28"/>
        </w:rPr>
        <w:t>价金额较上年增长</w:t>
      </w:r>
      <w:r w:rsidRPr="00E954DE">
        <w:rPr>
          <w:rFonts w:eastAsia="仿宋_GB2312" w:hint="eastAsia"/>
          <w:sz w:val="28"/>
          <w:szCs w:val="28"/>
        </w:rPr>
        <w:t>15.99%</w:t>
      </w:r>
      <w:r w:rsidRPr="00E954DE">
        <w:rPr>
          <w:rFonts w:ascii="仿宋" w:eastAsia="仿宋" w:hAnsi="仿宋"/>
          <w:sz w:val="28"/>
          <w:szCs w:val="28"/>
        </w:rPr>
        <w:t>。评价范围涵盖教育、城管</w:t>
      </w:r>
      <w:r w:rsidRPr="00E954DE">
        <w:rPr>
          <w:rFonts w:ascii="仿宋" w:eastAsia="仿宋" w:hAnsi="仿宋" w:hint="eastAsia"/>
          <w:sz w:val="28"/>
          <w:szCs w:val="28"/>
        </w:rPr>
        <w:t>、农业水利、</w:t>
      </w:r>
      <w:r w:rsidRPr="00E954DE">
        <w:rPr>
          <w:rFonts w:ascii="仿宋" w:eastAsia="仿宋" w:hAnsi="仿宋"/>
          <w:sz w:val="28"/>
          <w:szCs w:val="28"/>
        </w:rPr>
        <w:t>街道、社区</w:t>
      </w:r>
      <w:r w:rsidRPr="00E954DE">
        <w:rPr>
          <w:rFonts w:ascii="仿宋" w:eastAsia="仿宋" w:hAnsi="仿宋" w:hint="eastAsia"/>
          <w:sz w:val="28"/>
          <w:szCs w:val="28"/>
        </w:rPr>
        <w:t>等</w:t>
      </w:r>
      <w:r w:rsidRPr="00E954DE">
        <w:rPr>
          <w:rFonts w:ascii="仿宋" w:eastAsia="仿宋" w:hAnsi="仿宋"/>
          <w:sz w:val="28"/>
          <w:szCs w:val="28"/>
        </w:rPr>
        <w:t>部门</w:t>
      </w:r>
      <w:r w:rsidRPr="00E954DE">
        <w:rPr>
          <w:rFonts w:ascii="仿宋_GB2312" w:eastAsia="仿宋_GB2312" w:hint="eastAsia"/>
          <w:sz w:val="28"/>
          <w:szCs w:val="28"/>
        </w:rPr>
        <w:t>。通过采用计分和评级相结合的方式，</w:t>
      </w:r>
      <w:r w:rsidRPr="00E954DE">
        <w:rPr>
          <w:rFonts w:ascii="仿宋" w:eastAsia="仿宋" w:hAnsi="仿宋" w:hint="eastAsia"/>
          <w:sz w:val="28"/>
          <w:szCs w:val="28"/>
        </w:rPr>
        <w:t>客观、公正地反映了财政支出绩效和存在的主要问题，为有针对性地加强和改进财政资金分配、使用、管理提供了有益参考。</w:t>
      </w:r>
      <w:r w:rsidRPr="00E954DE">
        <w:rPr>
          <w:rFonts w:ascii="仿宋_GB2312" w:eastAsia="仿宋_GB2312" w:hint="eastAsia"/>
          <w:sz w:val="28"/>
          <w:szCs w:val="28"/>
        </w:rPr>
        <w:t>经综合考评，</w:t>
      </w:r>
      <w:r w:rsidRPr="00E954DE">
        <w:rPr>
          <w:rFonts w:eastAsia="仿宋_GB2312"/>
          <w:sz w:val="28"/>
          <w:szCs w:val="28"/>
        </w:rPr>
        <w:t>2</w:t>
      </w:r>
      <w:r w:rsidRPr="00E954DE">
        <w:rPr>
          <w:rFonts w:eastAsia="仿宋_GB2312" w:hint="eastAsia"/>
          <w:sz w:val="28"/>
          <w:szCs w:val="28"/>
        </w:rPr>
        <w:t>8</w:t>
      </w:r>
      <w:r w:rsidRPr="00E954DE">
        <w:rPr>
          <w:rFonts w:ascii="仿宋_GB2312" w:eastAsia="仿宋_GB2312" w:hint="eastAsia"/>
          <w:sz w:val="28"/>
          <w:szCs w:val="28"/>
        </w:rPr>
        <w:t>个项目中评为“良”等的项目</w:t>
      </w:r>
      <w:r w:rsidRPr="00E954DE">
        <w:rPr>
          <w:rFonts w:eastAsia="仿宋_GB2312" w:hint="eastAsia"/>
          <w:sz w:val="28"/>
          <w:szCs w:val="28"/>
        </w:rPr>
        <w:t>19</w:t>
      </w:r>
      <w:r w:rsidRPr="00E954DE">
        <w:rPr>
          <w:rFonts w:ascii="仿宋_GB2312" w:eastAsia="仿宋_GB2312" w:hint="eastAsia"/>
          <w:sz w:val="28"/>
          <w:szCs w:val="28"/>
        </w:rPr>
        <w:t>个，占</w:t>
      </w:r>
      <w:r w:rsidRPr="00E954DE">
        <w:rPr>
          <w:rFonts w:eastAsia="仿宋_GB2312" w:hint="eastAsia"/>
          <w:sz w:val="28"/>
          <w:szCs w:val="28"/>
        </w:rPr>
        <w:t>67.86%</w:t>
      </w:r>
      <w:r w:rsidRPr="00E954DE">
        <w:rPr>
          <w:rFonts w:eastAsia="仿宋_GB2312" w:hint="eastAsia"/>
          <w:sz w:val="28"/>
          <w:szCs w:val="28"/>
        </w:rPr>
        <w:t>；</w:t>
      </w:r>
      <w:r w:rsidRPr="00E954DE">
        <w:rPr>
          <w:rFonts w:ascii="仿宋_GB2312" w:eastAsia="仿宋_GB2312" w:hint="eastAsia"/>
          <w:sz w:val="28"/>
          <w:szCs w:val="28"/>
        </w:rPr>
        <w:t>评为“中”等的项目</w:t>
      </w:r>
      <w:r w:rsidRPr="00E954DE">
        <w:rPr>
          <w:rFonts w:eastAsia="仿宋_GB2312" w:hint="eastAsia"/>
          <w:sz w:val="28"/>
          <w:szCs w:val="28"/>
        </w:rPr>
        <w:t>9</w:t>
      </w:r>
      <w:r w:rsidRPr="00E954DE">
        <w:rPr>
          <w:rFonts w:ascii="仿宋_GB2312" w:eastAsia="仿宋_GB2312" w:hint="eastAsia"/>
          <w:sz w:val="28"/>
          <w:szCs w:val="28"/>
        </w:rPr>
        <w:t>个，占</w:t>
      </w:r>
      <w:r w:rsidRPr="00E954DE">
        <w:rPr>
          <w:rFonts w:eastAsia="仿宋_GB2312" w:hint="eastAsia"/>
          <w:sz w:val="28"/>
          <w:szCs w:val="28"/>
        </w:rPr>
        <w:t>32.14</w:t>
      </w:r>
      <w:r w:rsidRPr="00E954DE">
        <w:rPr>
          <w:rFonts w:eastAsia="仿宋_GB2312"/>
          <w:sz w:val="28"/>
          <w:szCs w:val="28"/>
        </w:rPr>
        <w:t>%</w:t>
      </w:r>
      <w:r w:rsidRPr="00E954DE">
        <w:rPr>
          <w:rFonts w:eastAsia="仿宋_GB2312" w:hint="eastAsia"/>
          <w:sz w:val="28"/>
          <w:szCs w:val="28"/>
        </w:rPr>
        <w:t>；</w:t>
      </w:r>
    </w:p>
    <w:sectPr w:rsidR="00E954DE" w:rsidRPr="00E954DE" w:rsidSect="00646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95" w:rsidRDefault="00F87495" w:rsidP="00E954DE">
      <w:r>
        <w:separator/>
      </w:r>
    </w:p>
  </w:endnote>
  <w:endnote w:type="continuationSeparator" w:id="1">
    <w:p w:rsidR="00F87495" w:rsidRDefault="00F87495" w:rsidP="00E95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95" w:rsidRDefault="00F87495" w:rsidP="00E954DE">
      <w:r>
        <w:separator/>
      </w:r>
    </w:p>
  </w:footnote>
  <w:footnote w:type="continuationSeparator" w:id="1">
    <w:p w:rsidR="00F87495" w:rsidRDefault="00F87495" w:rsidP="00E95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A83"/>
    <w:rsid w:val="00065D4D"/>
    <w:rsid w:val="000976C7"/>
    <w:rsid w:val="00126D67"/>
    <w:rsid w:val="002E4E88"/>
    <w:rsid w:val="00550DA7"/>
    <w:rsid w:val="00646B73"/>
    <w:rsid w:val="006613FF"/>
    <w:rsid w:val="00AC43FF"/>
    <w:rsid w:val="00B90A83"/>
    <w:rsid w:val="00E954DE"/>
    <w:rsid w:val="00F87495"/>
    <w:rsid w:val="0D40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46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46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6B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46B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2020-01-19T06:11:00Z</dcterms:created>
  <dcterms:modified xsi:type="dcterms:W3CDTF">2020-09-29T06:26:00Z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