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hint="eastAsia" w:ascii="Times New Roman" w:hAnsi="Times New Roman" w:eastAsia="黑体" w:cs="Times New Roman"/>
          <w:sz w:val="44"/>
          <w:szCs w:val="44"/>
        </w:rPr>
      </w:pPr>
      <w:r>
        <w:rPr>
          <w:rFonts w:hint="eastAsia" w:ascii="Times New Roman" w:hAnsi="Times New Roman" w:eastAsia="黑体" w:cs="Times New Roman"/>
          <w:sz w:val="44"/>
          <w:szCs w:val="44"/>
        </w:rPr>
        <w:t>长沙金霞经济开发区管理委员会</w:t>
      </w:r>
    </w:p>
    <w:p>
      <w:pPr>
        <w:jc w:val="center"/>
        <w:rPr>
          <w:rFonts w:ascii="Times New Roman" w:hAnsi="Times New Roman" w:eastAsia="仿宋_GB2312" w:cs="Times New Roman"/>
          <w:sz w:val="44"/>
          <w:szCs w:val="44"/>
        </w:rPr>
      </w:pPr>
      <w:r>
        <w:rPr>
          <w:rFonts w:hint="eastAsia" w:ascii="Times New Roman" w:hAnsi="Times New Roman" w:eastAsia="黑体" w:cs="Times New Roman"/>
          <w:sz w:val="44"/>
          <w:szCs w:val="44"/>
        </w:rPr>
        <w:t>2021年度整体支出绩效自评报告</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为全面推进预算绩效管理工作，提高财政支出绩效评价科学化水平，按照《中共中央 国务院关于全面实施预算绩效管理的意见》（中发〔2018〕34号）《中共湖南省委办公厅 湖南省人民政府办公厅关于全面实施预算绩效管理的实施意见》（湘办发〔2019〕10号）和《长沙市财政局关于开展2022年市直单位绩效自评工作的通知》（长财绩〔2022〕3号）等文件要求，</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对202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年度部门整体支出情况进行了绩效评价。评价采用定量分析和定性分析相结合的方法，从</w:t>
      </w:r>
      <w:r>
        <w:rPr>
          <w:rFonts w:hint="eastAsia" w:ascii="Times New Roman" w:hAnsi="Times New Roman" w:eastAsia="仿宋_GB2312" w:cs="Times New Roman"/>
          <w:sz w:val="32"/>
          <w:szCs w:val="32"/>
        </w:rPr>
        <w:t>预算管理、过程管理、</w:t>
      </w:r>
      <w:r>
        <w:rPr>
          <w:rFonts w:ascii="Times New Roman" w:hAnsi="Times New Roman" w:eastAsia="仿宋_GB2312" w:cs="Times New Roman"/>
          <w:sz w:val="32"/>
          <w:szCs w:val="32"/>
        </w:rPr>
        <w:t>履职产出和履职效益等方面进行了综合评价。</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次评价资金总计</w:t>
      </w:r>
      <w:r>
        <w:rPr>
          <w:rFonts w:hint="eastAsia" w:ascii="Times New Roman" w:hAnsi="Times New Roman" w:eastAsia="仿宋_GB2312" w:cs="Times New Roman"/>
          <w:sz w:val="32"/>
          <w:szCs w:val="32"/>
        </w:rPr>
        <w:t>88,705.74</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4,834.38</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83,871.36</w:t>
      </w:r>
      <w:r>
        <w:rPr>
          <w:rFonts w:ascii="Times New Roman" w:hAnsi="Times New Roman" w:eastAsia="仿宋_GB2312" w:cs="Times New Roman"/>
          <w:sz w:val="32"/>
          <w:szCs w:val="32"/>
        </w:rPr>
        <w:t>万元。现将绩效评价情况报告如下：</w:t>
      </w:r>
    </w:p>
    <w:p>
      <w:pPr>
        <w:pStyle w:val="2"/>
        <w:keepNext w:val="0"/>
        <w:keepLines w:val="0"/>
        <w:spacing w:before="0" w:after="0" w:line="560" w:lineRule="exact"/>
        <w:ind w:firstLine="640" w:firstLineChars="200"/>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一、部门概况</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（一）部门职能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长沙金霞经济开发区管理委员会主要工作职责包括：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党和国家有关发展经济开发区的方针、政策和法律、法规、规章；落实省、市、区关于金霞经开区的决策和部署；研究制定和组织实施金霞经开区的各项管理制度及改革措施；组织编制金霞经开区的中长期发展规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按照长沙市城市总体规划和土地利用总体规划的要求，负责金霞经开区的规划、建设和土地开发相关工作，按权限编制金霞经开区建设规划及重大专项规划；统筹区内项目建设工作，组织档案、宣传、综调、培训、督查督办、政务公开、办公自动化等工作；负责公务接待、后勤保障等工作；负责党群、组织、纪检监察等工作；负责制订人才工作规划，负责干部人事、机构编制、社会保障等工作；负责为区内企业提供人力资源服务；负责绩效考核相关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3、负责金霞经开区的招商引资工作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负责研究制定产业发展政策并组织实施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统一产业规划布局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组织和协调重大项目的招商引资活动。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4、负责金霞经开区内企业的指导、管理、服务和监督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按权限对区内企业和项目有关事项进行审核、审批、确认、备案管理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负责高新技术项目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企业）的申报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负责入园项目建设的全程服务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协调区内各企业、驻区机构与周边地区、单位的关系。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5、负责金霞经开区党群、组织、纪检监察、综合、信息、审计、统计、干部人事、机构编制、社会保障、财政收支及国有资产管理等工作。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6、按规定和权限负责金霞经开区安全生产、环境和资源保护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协调区内社会事务管理工作。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7、负责金霞经开区有关涉外事务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负责授权范围内合资企业的审核、审批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指导、组织、协调对外经济技术交流与合作。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8、承办中共长沙市开福区委、长沙市开福区人民政府交办的其他事项。</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（二）部门机构设置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金霞经开区党工委、管委会合署办公，为正处级机构。下设办公室、招商合作局、产业发展局、规划建设局、社会事务局等5个机构。长沙金霞经济开发区财政分局为长沙市开福区财政局的派出机构。</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（三）</w:t>
      </w:r>
      <w:r>
        <w:rPr>
          <w:rFonts w:hint="eastAsia" w:ascii="Times New Roman" w:hAnsi="Times New Roman" w:eastAsia="楷体_GB2312" w:cs="Times New Roman"/>
          <w:b w:val="0"/>
          <w:bCs w:val="0"/>
        </w:rPr>
        <w:t>人</w:t>
      </w:r>
      <w:r>
        <w:rPr>
          <w:rFonts w:ascii="Times New Roman" w:hAnsi="Times New Roman" w:eastAsia="楷体_GB2312" w:cs="Times New Roman"/>
          <w:b w:val="0"/>
          <w:bCs w:val="0"/>
        </w:rPr>
        <w:t>员编制情况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金霞经开区党工委、管委会核定人员编制</w:t>
      </w:r>
      <w:r>
        <w:rPr>
          <w:rFonts w:hint="eastAsia" w:ascii="Times New Roman" w:hAnsi="Times New Roman" w:eastAsia="仿宋_GB2312" w:cs="Times New Roman"/>
          <w:sz w:val="32"/>
          <w:szCs w:val="32"/>
        </w:rPr>
        <w:t>40</w:t>
      </w:r>
      <w:r>
        <w:rPr>
          <w:rFonts w:ascii="Times New Roman" w:hAnsi="Times New Roman" w:eastAsia="仿宋_GB2312" w:cs="Times New Roman"/>
          <w:sz w:val="32"/>
          <w:szCs w:val="32"/>
        </w:rPr>
        <w:t>人</w:t>
      </w:r>
      <w:r>
        <w:rPr>
          <w:rFonts w:hint="eastAsia" w:ascii="Times New Roman" w:hAnsi="Times New Roman" w:eastAsia="仿宋_GB2312" w:cs="Times New Roman"/>
          <w:sz w:val="32"/>
          <w:szCs w:val="32"/>
        </w:rPr>
        <w:t>。2021年末园区在编在职人数36人，编外长期聘用人员99人，离退休人数4人</w:t>
      </w:r>
      <w:r>
        <w:rPr>
          <w:rFonts w:ascii="Times New Roman" w:hAnsi="Times New Roman" w:eastAsia="仿宋_GB2312" w:cs="Times New Roman"/>
          <w:sz w:val="32"/>
          <w:szCs w:val="32"/>
        </w:rPr>
        <w:t>。</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（四）部门管理制度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管委会的内部控制主要参照上级主管部门相关规定执行，已制定的相关制度主要</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：《园区政府采购内部控制制度（试行）》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《规范行政审批、优化营商环境工作实施方案》等。</w:t>
      </w:r>
    </w:p>
    <w:p>
      <w:pPr>
        <w:pStyle w:val="2"/>
        <w:keepNext w:val="0"/>
        <w:keepLines w:val="0"/>
        <w:spacing w:before="0" w:after="0" w:line="560" w:lineRule="exact"/>
        <w:ind w:firstLine="640" w:firstLineChars="200"/>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二、一般公共预算支出情况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依据长沙市开福区财政局《关于下达202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年部门预算的通知》（长财发〔202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号）文件，管委会部门预算</w:t>
      </w:r>
      <w:r>
        <w:rPr>
          <w:rFonts w:hint="eastAsia" w:ascii="Times New Roman" w:hAnsi="Times New Roman" w:eastAsia="仿宋_GB2312" w:cs="Times New Roman"/>
          <w:sz w:val="32"/>
          <w:szCs w:val="32"/>
        </w:rPr>
        <w:t>63,715.54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4,939.63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58,775.91</w:t>
      </w:r>
      <w:r>
        <w:rPr>
          <w:rFonts w:ascii="Times New Roman" w:hAnsi="Times New Roman" w:eastAsia="仿宋_GB2312" w:cs="Times New Roman"/>
          <w:sz w:val="32"/>
          <w:szCs w:val="32"/>
        </w:rPr>
        <w:t>万元。</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（一）基本支出情况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基本支出主要是为保障部门正常运转、完成日常工作任务而发生的各项支出。包括基本工资、津贴补贴等人员经费以及办公费、印刷费、水电费、办公设备购置等公用经费。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基本支出2021年年初预算</w:t>
      </w:r>
      <w:r>
        <w:rPr>
          <w:rFonts w:hint="eastAsia" w:ascii="Times New Roman" w:hAnsi="Times New Roman" w:eastAsia="仿宋_GB2312" w:cs="Times New Roman"/>
          <w:sz w:val="32"/>
          <w:szCs w:val="32"/>
        </w:rPr>
        <w:t>4,939.63</w:t>
      </w:r>
      <w:r>
        <w:rPr>
          <w:rFonts w:ascii="Times New Roman" w:hAnsi="Times New Roman" w:eastAsia="仿宋_GB2312" w:cs="Times New Roman"/>
          <w:sz w:val="32"/>
          <w:szCs w:val="32"/>
        </w:rPr>
        <w:t>万元，年</w:t>
      </w:r>
      <w:r>
        <w:rPr>
          <w:rFonts w:hint="eastAsia" w:ascii="Times New Roman" w:hAnsi="Times New Roman" w:eastAsia="仿宋_GB2312" w:cs="Times New Roman"/>
          <w:sz w:val="32"/>
          <w:szCs w:val="32"/>
        </w:rPr>
        <w:t>末</w:t>
      </w:r>
      <w:r>
        <w:rPr>
          <w:rFonts w:ascii="Times New Roman" w:hAnsi="Times New Roman" w:eastAsia="仿宋_GB2312" w:cs="Times New Roman"/>
          <w:sz w:val="32"/>
          <w:szCs w:val="32"/>
        </w:rPr>
        <w:t>决算</w:t>
      </w:r>
      <w:r>
        <w:rPr>
          <w:rFonts w:hint="eastAsia" w:ascii="Times New Roman" w:hAnsi="Times New Roman" w:eastAsia="仿宋_GB2312" w:cs="Times New Roman"/>
          <w:sz w:val="32"/>
          <w:szCs w:val="32"/>
        </w:rPr>
        <w:t>4,834.38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：工资福利支出</w:t>
      </w:r>
      <w:r>
        <w:rPr>
          <w:rFonts w:hint="eastAsia" w:ascii="Times New Roman" w:hAnsi="Times New Roman" w:eastAsia="仿宋_GB2312" w:cs="Times New Roman"/>
          <w:sz w:val="32"/>
          <w:szCs w:val="32"/>
        </w:rPr>
        <w:t>4,048.68万元</w:t>
      </w:r>
      <w:r>
        <w:rPr>
          <w:rFonts w:ascii="Times New Roman" w:hAnsi="Times New Roman" w:eastAsia="仿宋_GB2312" w:cs="Times New Roman"/>
          <w:sz w:val="32"/>
          <w:szCs w:val="32"/>
        </w:rPr>
        <w:t>，商品和服务支出</w:t>
      </w:r>
      <w:r>
        <w:rPr>
          <w:rFonts w:hint="eastAsia" w:ascii="Times New Roman" w:hAnsi="Times New Roman" w:eastAsia="仿宋_GB2312" w:cs="Times New Roman"/>
          <w:sz w:val="32"/>
          <w:szCs w:val="32"/>
        </w:rPr>
        <w:t>689.95万元</w:t>
      </w:r>
      <w:r>
        <w:rPr>
          <w:rFonts w:ascii="Times New Roman" w:hAnsi="Times New Roman" w:eastAsia="仿宋_GB2312" w:cs="Times New Roman"/>
          <w:sz w:val="32"/>
          <w:szCs w:val="32"/>
        </w:rPr>
        <w:t>，对个人和家庭的补助</w:t>
      </w:r>
      <w:r>
        <w:rPr>
          <w:rFonts w:hint="eastAsia" w:ascii="Times New Roman" w:hAnsi="Times New Roman" w:eastAsia="仿宋_GB2312" w:cs="Times New Roman"/>
          <w:sz w:val="32"/>
          <w:szCs w:val="32"/>
        </w:rPr>
        <w:t>47.69万元，资本性支出48.06万元。</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（二）项目支出情况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项目支出主要是完成日常工作任务需发生的特定支出。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项目支出2021年年初预算</w:t>
      </w:r>
      <w:r>
        <w:rPr>
          <w:rFonts w:hint="eastAsia" w:ascii="Times New Roman" w:hAnsi="Times New Roman" w:eastAsia="仿宋_GB2312" w:cs="Times New Roman"/>
          <w:sz w:val="32"/>
          <w:szCs w:val="32"/>
        </w:rPr>
        <w:t>58,775.91</w:t>
      </w:r>
      <w:r>
        <w:rPr>
          <w:rFonts w:ascii="Times New Roman" w:hAnsi="Times New Roman" w:eastAsia="仿宋_GB2312" w:cs="Times New Roman"/>
          <w:sz w:val="32"/>
          <w:szCs w:val="32"/>
        </w:rPr>
        <w:t>万元，年</w:t>
      </w:r>
      <w:r>
        <w:rPr>
          <w:rFonts w:hint="eastAsia" w:ascii="Times New Roman" w:hAnsi="Times New Roman" w:eastAsia="仿宋_GB2312" w:cs="Times New Roman"/>
          <w:sz w:val="32"/>
          <w:szCs w:val="32"/>
        </w:rPr>
        <w:t>末</w:t>
      </w:r>
      <w:r>
        <w:rPr>
          <w:rFonts w:ascii="Times New Roman" w:hAnsi="Times New Roman" w:eastAsia="仿宋_GB2312" w:cs="Times New Roman"/>
          <w:sz w:val="32"/>
          <w:szCs w:val="32"/>
        </w:rPr>
        <w:t>决算</w:t>
      </w:r>
      <w:r>
        <w:rPr>
          <w:rFonts w:hint="eastAsia" w:ascii="Times New Roman" w:hAnsi="Times New Roman" w:eastAsia="仿宋_GB2312" w:cs="Times New Roman"/>
          <w:sz w:val="32"/>
          <w:szCs w:val="32"/>
        </w:rPr>
        <w:t>83,871.36</w:t>
      </w:r>
      <w:r>
        <w:rPr>
          <w:rFonts w:ascii="Times New Roman" w:hAnsi="Times New Roman" w:eastAsia="仿宋_GB2312" w:cs="Times New Roman"/>
          <w:sz w:val="32"/>
          <w:szCs w:val="32"/>
        </w:rPr>
        <w:t>万元。其中：工资福利支出</w:t>
      </w:r>
      <w:r>
        <w:rPr>
          <w:rFonts w:hint="eastAsia" w:ascii="Times New Roman" w:hAnsi="Times New Roman" w:eastAsia="仿宋_GB2312" w:cs="Times New Roman"/>
          <w:sz w:val="32"/>
          <w:szCs w:val="32"/>
        </w:rPr>
        <w:t>543.41万元</w:t>
      </w:r>
      <w:r>
        <w:rPr>
          <w:rFonts w:ascii="Times New Roman" w:hAnsi="Times New Roman" w:eastAsia="仿宋_GB2312" w:cs="Times New Roman"/>
          <w:sz w:val="32"/>
          <w:szCs w:val="32"/>
        </w:rPr>
        <w:t>，商品和服务支出</w:t>
      </w:r>
      <w:r>
        <w:rPr>
          <w:rFonts w:hint="eastAsia" w:ascii="Times New Roman" w:hAnsi="Times New Roman" w:eastAsia="仿宋_GB2312" w:cs="Times New Roman"/>
          <w:sz w:val="32"/>
          <w:szCs w:val="32"/>
        </w:rPr>
        <w:t>7,431.71万元</w:t>
      </w:r>
      <w:r>
        <w:rPr>
          <w:rFonts w:ascii="Times New Roman" w:hAnsi="Times New Roman" w:eastAsia="仿宋_GB2312" w:cs="Times New Roman"/>
          <w:sz w:val="32"/>
          <w:szCs w:val="32"/>
        </w:rPr>
        <w:t>，对个人和家庭的补助</w:t>
      </w:r>
      <w:r>
        <w:rPr>
          <w:rFonts w:hint="eastAsia" w:ascii="Times New Roman" w:hAnsi="Times New Roman" w:eastAsia="仿宋_GB2312" w:cs="Times New Roman"/>
          <w:sz w:val="32"/>
          <w:szCs w:val="32"/>
        </w:rPr>
        <w:t>538.19万元，资本性支出223.55万元，对企业补助75,134.5万元。</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三</w:t>
      </w: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w:t>
      </w:r>
      <w:r>
        <w:rPr>
          <w:rFonts w:ascii="Times New Roman" w:hAnsi="Times New Roman" w:eastAsia="楷体_GB2312" w:cs="Times New Roman"/>
          <w:b w:val="0"/>
          <w:bCs w:val="0"/>
        </w:rPr>
        <w:t>三公”经费情况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“三公”经费202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年年初预算</w:t>
      </w:r>
      <w:r>
        <w:rPr>
          <w:rFonts w:hint="eastAsia" w:ascii="Times New Roman" w:hAnsi="Times New Roman" w:eastAsia="仿宋_GB2312" w:cs="Times New Roman"/>
          <w:sz w:val="32"/>
          <w:szCs w:val="32"/>
        </w:rPr>
        <w:t>15.8</w:t>
      </w:r>
      <w:r>
        <w:rPr>
          <w:rFonts w:ascii="Times New Roman" w:hAnsi="Times New Roman" w:eastAsia="仿宋_GB2312" w:cs="Times New Roman"/>
          <w:sz w:val="32"/>
          <w:szCs w:val="32"/>
        </w:rPr>
        <w:t>万元，其中：公务接待费</w:t>
      </w:r>
      <w:r>
        <w:rPr>
          <w:rFonts w:hint="eastAsia" w:ascii="Times New Roman" w:hAnsi="Times New Roman" w:eastAsia="仿宋_GB2312" w:cs="Times New Roman"/>
          <w:sz w:val="32"/>
          <w:szCs w:val="32"/>
        </w:rPr>
        <w:t>5.8</w:t>
      </w:r>
      <w:r>
        <w:rPr>
          <w:rFonts w:ascii="Times New Roman" w:hAnsi="Times New Roman" w:eastAsia="仿宋_GB2312" w:cs="Times New Roman"/>
          <w:sz w:val="32"/>
          <w:szCs w:val="32"/>
        </w:rPr>
        <w:t>万元，因公出国（境）费</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万元。年末决算</w:t>
      </w:r>
      <w:r>
        <w:rPr>
          <w:rFonts w:hint="eastAsia" w:ascii="Times New Roman" w:hAnsi="Times New Roman" w:eastAsia="仿宋_GB2312" w:cs="Times New Roman"/>
          <w:sz w:val="32"/>
          <w:szCs w:val="32"/>
        </w:rPr>
        <w:t>1.14</w:t>
      </w:r>
      <w:r>
        <w:rPr>
          <w:rFonts w:ascii="Times New Roman" w:hAnsi="Times New Roman" w:eastAsia="仿宋_GB2312" w:cs="Times New Roman"/>
          <w:sz w:val="32"/>
          <w:szCs w:val="32"/>
        </w:rPr>
        <w:t>万元，其中公务接待费</w:t>
      </w:r>
      <w:r>
        <w:rPr>
          <w:rFonts w:hint="eastAsia" w:ascii="Times New Roman" w:hAnsi="Times New Roman" w:eastAsia="仿宋_GB2312" w:cs="Times New Roman"/>
          <w:sz w:val="32"/>
          <w:szCs w:val="32"/>
        </w:rPr>
        <w:t>1.14</w:t>
      </w:r>
      <w:r>
        <w:rPr>
          <w:rFonts w:ascii="Times New Roman" w:hAnsi="Times New Roman" w:eastAsia="仿宋_GB2312" w:cs="Times New Roman"/>
          <w:sz w:val="32"/>
          <w:szCs w:val="32"/>
        </w:rPr>
        <w:t>万元。节约</w:t>
      </w:r>
      <w:r>
        <w:rPr>
          <w:rFonts w:hint="eastAsia" w:ascii="Times New Roman" w:hAnsi="Times New Roman" w:eastAsia="仿宋_GB2312" w:cs="Times New Roman"/>
          <w:sz w:val="32"/>
          <w:szCs w:val="32"/>
        </w:rPr>
        <w:t>14.66</w:t>
      </w:r>
      <w:r>
        <w:rPr>
          <w:rFonts w:ascii="Times New Roman" w:hAnsi="Times New Roman" w:eastAsia="仿宋_GB2312" w:cs="Times New Roman"/>
          <w:sz w:val="32"/>
          <w:szCs w:val="32"/>
        </w:rPr>
        <w:t>万元，节约率</w:t>
      </w:r>
      <w:r>
        <w:rPr>
          <w:rFonts w:hint="eastAsia" w:ascii="Times New Roman" w:hAnsi="Times New Roman" w:eastAsia="仿宋_GB2312" w:cs="Times New Roman"/>
          <w:sz w:val="32"/>
          <w:szCs w:val="32"/>
        </w:rPr>
        <w:t>92.78</w:t>
      </w:r>
      <w:r>
        <w:rPr>
          <w:rFonts w:ascii="Times New Roman" w:hAnsi="Times New Roman" w:eastAsia="仿宋_GB2312" w:cs="Times New Roman"/>
          <w:sz w:val="32"/>
          <w:szCs w:val="32"/>
        </w:rPr>
        <w:t>%。“三公”经费预算支出明细情况如下表</w:t>
      </w:r>
      <w:r>
        <w:rPr>
          <w:rFonts w:hint="eastAsia" w:ascii="Times New Roman" w:hAnsi="Times New Roman" w:eastAsia="仿宋_GB2312" w:cs="Times New Roman"/>
          <w:sz w:val="32"/>
          <w:szCs w:val="32"/>
        </w:rPr>
        <w:t>：</w:t>
      </w:r>
    </w:p>
    <w:tbl>
      <w:tblPr>
        <w:tblStyle w:val="11"/>
        <w:tblW w:w="8374"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 w:type="dxa"/>
          <w:bottom w:w="0" w:type="dxa"/>
          <w:right w:w="10" w:type="dxa"/>
        </w:tblCellMar>
      </w:tblPr>
      <w:tblGrid>
        <w:gridCol w:w="2420"/>
        <w:gridCol w:w="1843"/>
        <w:gridCol w:w="1843"/>
        <w:gridCol w:w="226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 w:type="dxa"/>
            <w:bottom w:w="0" w:type="dxa"/>
            <w:right w:w="10" w:type="dxa"/>
          </w:tblCellMar>
        </w:tblPrEx>
        <w:trPr>
          <w:trHeight w:val="397" w:hRule="exact"/>
        </w:trPr>
        <w:tc>
          <w:tcPr>
            <w:tcW w:w="2420" w:type="dxa"/>
            <w:shd w:val="clear" w:color="auto" w:fill="FFFFFF"/>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项目内容</w:t>
            </w:r>
          </w:p>
        </w:tc>
        <w:tc>
          <w:tcPr>
            <w:tcW w:w="1843" w:type="dxa"/>
            <w:shd w:val="clear" w:color="auto" w:fill="FFFFFF"/>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预算金额</w:t>
            </w:r>
          </w:p>
        </w:tc>
        <w:tc>
          <w:tcPr>
            <w:tcW w:w="1843" w:type="dxa"/>
            <w:shd w:val="clear" w:color="auto" w:fill="FFFFFF"/>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决算金额</w:t>
            </w:r>
          </w:p>
        </w:tc>
        <w:tc>
          <w:tcPr>
            <w:tcW w:w="2268" w:type="dxa"/>
            <w:shd w:val="clear" w:color="auto" w:fill="FFFFFF"/>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节约</w:t>
            </w:r>
            <w:r>
              <w:rPr>
                <w:rFonts w:ascii="Times New Roman" w:hAnsi="Times New Roman" w:eastAsia="仿宋_GB2312" w:cs="Times New Roman"/>
                <w:szCs w:val="21"/>
              </w:rPr>
              <w:t>率（</w:t>
            </w:r>
            <w:r>
              <w:rPr>
                <w:rFonts w:hint="eastAsia" w:ascii="Times New Roman" w:hAnsi="Times New Roman" w:eastAsia="仿宋_GB2312" w:cs="Times New Roman"/>
                <w:szCs w:val="21"/>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 w:type="dxa"/>
            <w:bottom w:w="0" w:type="dxa"/>
            <w:right w:w="10" w:type="dxa"/>
          </w:tblCellMar>
        </w:tblPrEx>
        <w:trPr>
          <w:trHeight w:val="397" w:hRule="exact"/>
        </w:trPr>
        <w:tc>
          <w:tcPr>
            <w:tcW w:w="2420" w:type="dxa"/>
            <w:shd w:val="clear" w:color="auto" w:fill="FFFFFF"/>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公</w:t>
            </w:r>
            <w:r>
              <w:rPr>
                <w:rFonts w:ascii="Times New Roman" w:hAnsi="Times New Roman" w:eastAsia="仿宋_GB2312" w:cs="Times New Roman"/>
                <w:szCs w:val="21"/>
              </w:rPr>
              <w:t>务接待费</w:t>
            </w:r>
          </w:p>
        </w:tc>
        <w:tc>
          <w:tcPr>
            <w:tcW w:w="1843" w:type="dxa"/>
            <w:shd w:val="clear" w:color="auto" w:fill="FFFFFF"/>
            <w:vAlign w:val="center"/>
          </w:tcPr>
          <w:p>
            <w:pPr>
              <w:jc w:val="right"/>
              <w:rPr>
                <w:rFonts w:ascii="Times New Roman" w:hAnsi="Times New Roman" w:eastAsia="仿宋_GB2312" w:cs="Times New Roman"/>
                <w:szCs w:val="21"/>
              </w:rPr>
            </w:pPr>
            <w:r>
              <w:rPr>
                <w:rFonts w:hint="eastAsia" w:ascii="Times New Roman" w:hAnsi="Times New Roman" w:eastAsia="仿宋_GB2312" w:cs="Times New Roman"/>
                <w:szCs w:val="21"/>
              </w:rPr>
              <w:t>5.80</w:t>
            </w:r>
          </w:p>
        </w:tc>
        <w:tc>
          <w:tcPr>
            <w:tcW w:w="1843" w:type="dxa"/>
            <w:shd w:val="clear" w:color="auto" w:fill="FFFFFF"/>
            <w:vAlign w:val="center"/>
          </w:tcPr>
          <w:p>
            <w:pPr>
              <w:jc w:val="right"/>
              <w:rPr>
                <w:rFonts w:ascii="Times New Roman" w:hAnsi="Times New Roman" w:eastAsia="仿宋_GB2312" w:cs="Times New Roman"/>
                <w:szCs w:val="21"/>
              </w:rPr>
            </w:pPr>
            <w:r>
              <w:rPr>
                <w:rFonts w:hint="eastAsia" w:ascii="Times New Roman" w:hAnsi="Times New Roman" w:eastAsia="仿宋_GB2312" w:cs="Times New Roman"/>
                <w:szCs w:val="21"/>
              </w:rPr>
              <w:t>1.14</w:t>
            </w:r>
          </w:p>
        </w:tc>
        <w:tc>
          <w:tcPr>
            <w:tcW w:w="2268" w:type="dxa"/>
            <w:shd w:val="clear" w:color="auto" w:fill="FFFFFF"/>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80.34</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 w:type="dxa"/>
            <w:bottom w:w="0" w:type="dxa"/>
            <w:right w:w="10" w:type="dxa"/>
          </w:tblCellMar>
        </w:tblPrEx>
        <w:trPr>
          <w:trHeight w:val="397" w:hRule="exact"/>
        </w:trPr>
        <w:tc>
          <w:tcPr>
            <w:tcW w:w="2420" w:type="dxa"/>
            <w:shd w:val="clear" w:color="auto" w:fill="FFFFFF"/>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因</w:t>
            </w:r>
            <w:r>
              <w:rPr>
                <w:rFonts w:ascii="Times New Roman" w:hAnsi="Times New Roman" w:eastAsia="仿宋_GB2312" w:cs="Times New Roman"/>
                <w:szCs w:val="21"/>
              </w:rPr>
              <w:t>公出国（境）费</w:t>
            </w:r>
          </w:p>
        </w:tc>
        <w:tc>
          <w:tcPr>
            <w:tcW w:w="1843" w:type="dxa"/>
            <w:shd w:val="clear" w:color="auto" w:fill="FFFFFF"/>
            <w:vAlign w:val="center"/>
          </w:tcPr>
          <w:p>
            <w:pPr>
              <w:jc w:val="right"/>
              <w:rPr>
                <w:rFonts w:ascii="Times New Roman" w:hAnsi="Times New Roman" w:eastAsia="仿宋_GB2312" w:cs="Times New Roman"/>
                <w:szCs w:val="21"/>
              </w:rPr>
            </w:pPr>
            <w:r>
              <w:rPr>
                <w:rFonts w:hint="eastAsia" w:ascii="Times New Roman" w:hAnsi="Times New Roman" w:eastAsia="仿宋_GB2312" w:cs="Times New Roman"/>
                <w:szCs w:val="21"/>
              </w:rPr>
              <w:t>10.00</w:t>
            </w:r>
          </w:p>
        </w:tc>
        <w:tc>
          <w:tcPr>
            <w:tcW w:w="1843" w:type="dxa"/>
            <w:shd w:val="clear" w:color="auto" w:fill="FFFFFF"/>
            <w:vAlign w:val="center"/>
          </w:tcPr>
          <w:p>
            <w:pPr>
              <w:jc w:val="right"/>
              <w:rPr>
                <w:rFonts w:ascii="Times New Roman" w:hAnsi="Times New Roman" w:eastAsia="仿宋_GB2312" w:cs="Times New Roman"/>
                <w:szCs w:val="21"/>
              </w:rPr>
            </w:pPr>
          </w:p>
        </w:tc>
        <w:tc>
          <w:tcPr>
            <w:tcW w:w="2268" w:type="dxa"/>
            <w:shd w:val="clear" w:color="auto" w:fill="FFFFFF"/>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 w:type="dxa"/>
            <w:bottom w:w="0" w:type="dxa"/>
            <w:right w:w="10" w:type="dxa"/>
          </w:tblCellMar>
        </w:tblPrEx>
        <w:trPr>
          <w:trHeight w:val="397" w:hRule="exact"/>
        </w:trPr>
        <w:tc>
          <w:tcPr>
            <w:tcW w:w="2420" w:type="dxa"/>
            <w:shd w:val="clear" w:color="auto" w:fill="FFFFFF"/>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公务用车购置及运行费</w:t>
            </w:r>
          </w:p>
        </w:tc>
        <w:tc>
          <w:tcPr>
            <w:tcW w:w="1843" w:type="dxa"/>
            <w:shd w:val="clear" w:color="auto" w:fill="FFFFFF"/>
            <w:vAlign w:val="center"/>
          </w:tcPr>
          <w:p>
            <w:pPr>
              <w:jc w:val="right"/>
              <w:rPr>
                <w:rFonts w:ascii="Times New Roman" w:hAnsi="Times New Roman" w:eastAsia="仿宋_GB2312" w:cs="Times New Roman"/>
                <w:szCs w:val="21"/>
              </w:rPr>
            </w:pPr>
          </w:p>
        </w:tc>
        <w:tc>
          <w:tcPr>
            <w:tcW w:w="1843" w:type="dxa"/>
            <w:shd w:val="clear" w:color="auto" w:fill="FFFFFF"/>
            <w:vAlign w:val="center"/>
          </w:tcPr>
          <w:p>
            <w:pPr>
              <w:jc w:val="right"/>
              <w:rPr>
                <w:rFonts w:ascii="Times New Roman" w:hAnsi="Times New Roman" w:eastAsia="仿宋_GB2312" w:cs="Times New Roman"/>
                <w:szCs w:val="21"/>
              </w:rPr>
            </w:pPr>
          </w:p>
        </w:tc>
        <w:tc>
          <w:tcPr>
            <w:tcW w:w="2268" w:type="dxa"/>
            <w:shd w:val="clear" w:color="auto" w:fill="FFFFFF"/>
            <w:vAlign w:val="center"/>
          </w:tcPr>
          <w:p>
            <w:pPr>
              <w:jc w:val="center"/>
              <w:rPr>
                <w:rFonts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 w:type="dxa"/>
            <w:bottom w:w="0" w:type="dxa"/>
            <w:right w:w="10" w:type="dxa"/>
          </w:tblCellMar>
        </w:tblPrEx>
        <w:trPr>
          <w:trHeight w:val="397" w:hRule="exact"/>
        </w:trPr>
        <w:tc>
          <w:tcPr>
            <w:tcW w:w="2420" w:type="dxa"/>
            <w:shd w:val="clear" w:color="auto" w:fill="FFFFFF"/>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合计</w:t>
            </w:r>
          </w:p>
        </w:tc>
        <w:tc>
          <w:tcPr>
            <w:tcW w:w="1843" w:type="dxa"/>
            <w:shd w:val="clear" w:color="auto" w:fill="FFFFFF"/>
            <w:vAlign w:val="center"/>
          </w:tcPr>
          <w:p>
            <w:pPr>
              <w:jc w:val="right"/>
              <w:rPr>
                <w:rFonts w:ascii="Times New Roman" w:hAnsi="Times New Roman" w:eastAsia="仿宋_GB2312" w:cs="Times New Roman"/>
                <w:szCs w:val="21"/>
              </w:rPr>
            </w:pPr>
            <w:r>
              <w:rPr>
                <w:rFonts w:hint="eastAsia" w:ascii="Times New Roman" w:hAnsi="Times New Roman" w:eastAsia="仿宋_GB2312" w:cs="Times New Roman"/>
                <w:szCs w:val="21"/>
              </w:rPr>
              <w:t>15.80</w:t>
            </w:r>
          </w:p>
        </w:tc>
        <w:tc>
          <w:tcPr>
            <w:tcW w:w="1843" w:type="dxa"/>
            <w:shd w:val="clear" w:color="auto" w:fill="FFFFFF"/>
            <w:vAlign w:val="center"/>
          </w:tcPr>
          <w:p>
            <w:pPr>
              <w:jc w:val="right"/>
              <w:rPr>
                <w:rFonts w:ascii="Times New Roman" w:hAnsi="Times New Roman" w:eastAsia="仿宋_GB2312" w:cs="Times New Roman"/>
                <w:szCs w:val="21"/>
              </w:rPr>
            </w:pPr>
            <w:r>
              <w:rPr>
                <w:rFonts w:hint="eastAsia" w:ascii="Times New Roman" w:hAnsi="Times New Roman" w:eastAsia="仿宋_GB2312" w:cs="Times New Roman"/>
                <w:szCs w:val="21"/>
              </w:rPr>
              <w:t>1.14</w:t>
            </w:r>
          </w:p>
        </w:tc>
        <w:tc>
          <w:tcPr>
            <w:tcW w:w="2268" w:type="dxa"/>
            <w:shd w:val="clear" w:color="auto" w:fill="FFFFFF"/>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92.78</w:t>
            </w:r>
          </w:p>
        </w:tc>
      </w:tr>
    </w:tbl>
    <w:p>
      <w:pPr>
        <w:pStyle w:val="2"/>
        <w:keepNext w:val="0"/>
        <w:keepLines w:val="0"/>
        <w:spacing w:before="0" w:after="0" w:line="560" w:lineRule="exact"/>
        <w:ind w:firstLine="640" w:firstLineChars="200"/>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三、</w:t>
      </w:r>
      <w:r>
        <w:rPr>
          <w:rFonts w:hint="eastAsia" w:ascii="Times New Roman" w:hAnsi="Times New Roman" w:eastAsia="黑体" w:cs="Times New Roman"/>
          <w:b w:val="0"/>
          <w:bCs w:val="0"/>
          <w:sz w:val="32"/>
          <w:szCs w:val="32"/>
        </w:rPr>
        <w:t>资</w:t>
      </w:r>
      <w:r>
        <w:rPr>
          <w:rFonts w:ascii="Times New Roman" w:hAnsi="Times New Roman" w:eastAsia="黑体" w:cs="Times New Roman"/>
          <w:b w:val="0"/>
          <w:bCs w:val="0"/>
          <w:sz w:val="32"/>
          <w:szCs w:val="32"/>
        </w:rPr>
        <w:t>产管理情况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管委会制定了《资产管理工作制度》，固定资产管理按照“统一领导，归口管理”的办法实行。涉及政府集中采购目录内通用类货物实行电子卖场采购，采购范围及程序按照上级相关制度执行。固定资产采购审批严格，最大限度盘活存量资产，提高资产使用效率。资产管理落实到人，定期进行清查盘点，保证国有资产的真实完整。</w:t>
      </w:r>
    </w:p>
    <w:p>
      <w:pPr>
        <w:pStyle w:val="2"/>
        <w:keepNext w:val="0"/>
        <w:keepLines w:val="0"/>
        <w:spacing w:before="0" w:after="0" w:line="560" w:lineRule="exact"/>
        <w:ind w:firstLine="640" w:firstLineChars="200"/>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四、</w:t>
      </w:r>
      <w:r>
        <w:rPr>
          <w:rFonts w:hint="eastAsia" w:ascii="Times New Roman" w:hAnsi="Times New Roman" w:eastAsia="黑体" w:cs="Times New Roman"/>
          <w:b w:val="0"/>
          <w:bCs w:val="0"/>
          <w:sz w:val="32"/>
          <w:szCs w:val="32"/>
        </w:rPr>
        <w:t>2021年度重点绩效目标</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（一）</w:t>
      </w:r>
      <w:r>
        <w:rPr>
          <w:rFonts w:hint="eastAsia" w:ascii="Times New Roman" w:hAnsi="Times New Roman" w:eastAsia="楷体_GB2312" w:cs="Times New Roman"/>
          <w:b w:val="0"/>
          <w:bCs w:val="0"/>
        </w:rPr>
        <w:t>打</w:t>
      </w:r>
      <w:r>
        <w:rPr>
          <w:rFonts w:ascii="Times New Roman" w:hAnsi="Times New Roman" w:eastAsia="楷体_GB2312" w:cs="Times New Roman"/>
          <w:b w:val="0"/>
          <w:bCs w:val="0"/>
        </w:rPr>
        <w:t>造“三个高地”</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年产业链、主特产业项目实际完成投资额、项目税收（实缴，个人所得税除外）完成年度任务。园区高新技术企业有效数、专利质押融资额等完成市政府下达的指导性目标任务。外贸进出口、实际利用外资完成长开组发〔2021〕1号下达的目标任务。</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hint="eastAsia" w:ascii="Times New Roman" w:hAnsi="Times New Roman" w:eastAsia="楷体_GB2312" w:cs="Times New Roman"/>
          <w:b w:val="0"/>
          <w:bCs w:val="0"/>
        </w:rPr>
        <w:t>（</w:t>
      </w:r>
      <w:r>
        <w:rPr>
          <w:rFonts w:ascii="Times New Roman" w:hAnsi="Times New Roman" w:eastAsia="楷体_GB2312" w:cs="Times New Roman"/>
          <w:b w:val="0"/>
          <w:bCs w:val="0"/>
        </w:rPr>
        <w:t>二）</w:t>
      </w:r>
      <w:r>
        <w:rPr>
          <w:rFonts w:hint="eastAsia" w:ascii="Times New Roman" w:hAnsi="Times New Roman" w:eastAsia="楷体_GB2312" w:cs="Times New Roman"/>
          <w:b w:val="0"/>
          <w:bCs w:val="0"/>
        </w:rPr>
        <w:t>推动高质量发展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面完成省委省政府和市委市政府下达的长株潭一体化年度任务（含省长株潭一体化发展领导小组办公室下达的2021年三十大标志工程和市推进长株潭一体化发展领导小组下发的2021年度重点工作、重点项目）。固定资产投资、产业投资、规模以上工业增加值、税收收入等指标达到市政府下达的增速目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新增规模以上工业企业户数，完成或超额完成市政府下达的指导性目标。年底市级智能制造试点项目申报个数寄已市政府下达的指导性目标。</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园区“12345”政务热线年度满意率不低于92%。</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hint="eastAsia" w:ascii="Times New Roman" w:hAnsi="Times New Roman" w:eastAsia="楷体_GB2312" w:cs="Times New Roman"/>
          <w:b w:val="0"/>
          <w:bCs w:val="0"/>
        </w:rPr>
        <w:t>（三）争创特色亮点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消费电子产业集聚区1.1期完成厂房建设，交付使用；蓝思智能项目（暂定名）启动主体工程建设；夸特纳斯实现竣工。完成长株潭一体化2021年三十大标志工程（涉长项目）中涉及金霞经开区的陆港型国家物流枢纽主要建设内容。2021年度实现跨境电子商务收入7.3亿美元，新开通1条跨境电商卡车航班（持续运营6个月以上），开展“长株潭”一体化产业带对接活动。</w:t>
      </w:r>
    </w:p>
    <w:p>
      <w:pPr>
        <w:pStyle w:val="2"/>
        <w:keepNext w:val="0"/>
        <w:keepLines w:val="0"/>
        <w:spacing w:before="0" w:after="0" w:line="560" w:lineRule="exact"/>
        <w:ind w:firstLine="640" w:firstLineChars="200"/>
        <w:rPr>
          <w:rFonts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rPr>
        <w:t>五</w:t>
      </w:r>
      <w:r>
        <w:rPr>
          <w:rFonts w:ascii="Times New Roman" w:hAnsi="Times New Roman" w:eastAsia="黑体" w:cs="Times New Roman"/>
          <w:b w:val="0"/>
          <w:bCs w:val="0"/>
          <w:sz w:val="32"/>
          <w:szCs w:val="32"/>
        </w:rPr>
        <w:t>、部门整体</w:t>
      </w:r>
      <w:r>
        <w:rPr>
          <w:rFonts w:hint="eastAsia" w:ascii="Times New Roman" w:hAnsi="Times New Roman" w:eastAsia="黑体" w:cs="Times New Roman"/>
          <w:b w:val="0"/>
          <w:bCs w:val="0"/>
          <w:sz w:val="32"/>
          <w:szCs w:val="32"/>
        </w:rPr>
        <w:t>产</w:t>
      </w:r>
      <w:r>
        <w:rPr>
          <w:rFonts w:ascii="Times New Roman" w:hAnsi="Times New Roman" w:eastAsia="黑体" w:cs="Times New Roman"/>
          <w:b w:val="0"/>
          <w:bCs w:val="0"/>
          <w:sz w:val="32"/>
          <w:szCs w:val="32"/>
        </w:rPr>
        <w:t>出成果及效益情况</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hint="eastAsia" w:ascii="Times New Roman" w:hAnsi="Times New Roman" w:eastAsia="楷体_GB2312" w:cs="Times New Roman"/>
          <w:b w:val="0"/>
          <w:bCs w:val="0"/>
        </w:rPr>
        <w:t>（一）预算管理绩效情况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该指标从预算执行率和“三公经费”控制率两个方面对预算管理绩效情况进行评价。</w:t>
      </w:r>
      <w:r>
        <w:rPr>
          <w:rFonts w:ascii="Times New Roman" w:hAnsi="Times New Roman" w:eastAsia="仿宋_GB2312" w:cs="Times New Roman"/>
          <w:sz w:val="32"/>
          <w:szCs w:val="32"/>
        </w:rPr>
        <w:t>该指标共</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分，绩效评价得分</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1、2021年度园区部门财政预算执行率为100%。园区财政</w:t>
      </w:r>
      <w:r>
        <w:rPr>
          <w:rFonts w:hint="eastAsia" w:ascii="Times New Roman" w:hAnsi="Times New Roman" w:eastAsia="仿宋_GB2312" w:cs="Times New Roman"/>
          <w:sz w:val="32"/>
          <w:szCs w:val="32"/>
          <w:lang w:val="en-US" w:eastAsia="zh-CN"/>
        </w:rPr>
        <w:t>分</w:t>
      </w:r>
      <w:r>
        <w:rPr>
          <w:rFonts w:hint="eastAsia" w:ascii="Times New Roman" w:hAnsi="Times New Roman" w:eastAsia="仿宋_GB2312" w:cs="Times New Roman"/>
          <w:sz w:val="32"/>
          <w:szCs w:val="32"/>
        </w:rPr>
        <w:t>局不断完善财政预算管理制度及时调整方案，2021年度财政预算执行较好。</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“三公”经费202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年年初预算</w:t>
      </w:r>
      <w:r>
        <w:rPr>
          <w:rFonts w:hint="eastAsia" w:ascii="Times New Roman" w:hAnsi="Times New Roman" w:eastAsia="仿宋_GB2312" w:cs="Times New Roman"/>
          <w:sz w:val="32"/>
          <w:szCs w:val="32"/>
        </w:rPr>
        <w:t>15.8</w:t>
      </w:r>
      <w:r>
        <w:rPr>
          <w:rFonts w:ascii="Times New Roman" w:hAnsi="Times New Roman" w:eastAsia="仿宋_GB2312" w:cs="Times New Roman"/>
          <w:sz w:val="32"/>
          <w:szCs w:val="32"/>
        </w:rPr>
        <w:t>万元，年末决算</w:t>
      </w:r>
      <w:r>
        <w:rPr>
          <w:rFonts w:hint="eastAsia" w:ascii="Times New Roman" w:hAnsi="Times New Roman" w:eastAsia="仿宋_GB2312" w:cs="Times New Roman"/>
          <w:sz w:val="32"/>
          <w:szCs w:val="32"/>
        </w:rPr>
        <w:t>1.14</w:t>
      </w:r>
      <w:r>
        <w:rPr>
          <w:rFonts w:ascii="Times New Roman" w:hAnsi="Times New Roman" w:eastAsia="仿宋_GB2312" w:cs="Times New Roman"/>
          <w:sz w:val="32"/>
          <w:szCs w:val="32"/>
        </w:rPr>
        <w:t>万元，控制率为</w:t>
      </w:r>
      <w:r>
        <w:rPr>
          <w:rFonts w:hint="eastAsia" w:ascii="Times New Roman" w:hAnsi="Times New Roman" w:eastAsia="仿宋_GB2312" w:cs="Times New Roman"/>
          <w:sz w:val="32"/>
          <w:szCs w:val="32"/>
        </w:rPr>
        <w:t>7.22%</w:t>
      </w:r>
      <w:r>
        <w:rPr>
          <w:rFonts w:ascii="Times New Roman" w:hAnsi="Times New Roman" w:eastAsia="仿宋_GB2312" w:cs="Times New Roman"/>
          <w:sz w:val="32"/>
          <w:szCs w:val="32"/>
        </w:rPr>
        <w:t>。</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hint="eastAsia" w:ascii="Times New Roman" w:hAnsi="Times New Roman" w:eastAsia="楷体_GB2312" w:cs="Times New Roman"/>
          <w:b w:val="0"/>
          <w:bCs w:val="0"/>
        </w:rPr>
        <w:t>（二）过程管理绩效情况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该指标从管理制度健全性、资金使用规范性、政府采购规范性、资产管理规范性、在职人员控制率、信息公开性等六个方面对预算管理绩效情况进行评价。</w:t>
      </w:r>
      <w:r>
        <w:rPr>
          <w:rFonts w:ascii="Times New Roman" w:hAnsi="Times New Roman" w:eastAsia="仿宋_GB2312" w:cs="Times New Roman"/>
          <w:sz w:val="32"/>
          <w:szCs w:val="32"/>
        </w:rPr>
        <w:t>该指标共</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分，绩效评价得分</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1、在管理制度健全性及资金使用规范性上，园区财政部门</w:t>
      </w:r>
      <w:r>
        <w:rPr>
          <w:rFonts w:ascii="Times New Roman" w:hAnsi="Times New Roman" w:eastAsia="仿宋_GB2312" w:cs="Times New Roman"/>
          <w:sz w:val="32"/>
          <w:szCs w:val="32"/>
        </w:rPr>
        <w:t>组织学习接待费用管理办法等制度，规范财务审批报销流程，从严控制一般运转支出。对园区单位往来账务进行清理，按债权债务性质和年限分类，提请党工委会议研究讨论处置。组织第三方机构对上年度财政资金进行绩效评价，追踪资金绩效，及时发现问题，切实了发挥财政资金使用效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2、2021</w:t>
      </w:r>
      <w:r>
        <w:rPr>
          <w:rFonts w:ascii="Times New Roman" w:hAnsi="Times New Roman" w:eastAsia="仿宋_GB2312" w:cs="Times New Roman"/>
          <w:sz w:val="32"/>
          <w:szCs w:val="32"/>
        </w:rPr>
        <w:t>年6月出台了《园区政府采购内部控制制度（试行）》，加强对政府采购预算管理及采购的事前控制。完成园区政府采购标准化流程建设，实行标准化全流程管理，提高政府采购效能，规范各局室的政府采购行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3、截止2021年末园区在编在职人数36人，编外长期聘用人员99人，离退休人数4人</w:t>
      </w:r>
      <w:r>
        <w:rPr>
          <w:rFonts w:ascii="Times New Roman" w:hAnsi="Times New Roman" w:eastAsia="仿宋_GB2312" w:cs="Times New Roman"/>
          <w:sz w:val="32"/>
          <w:szCs w:val="32"/>
        </w:rPr>
        <w:t>。在职人员与聘用人员控制率均在</w:t>
      </w:r>
      <w:r>
        <w:rPr>
          <w:rFonts w:hint="eastAsia" w:ascii="Times New Roman" w:hAnsi="Times New Roman" w:eastAsia="仿宋_GB2312" w:cs="Times New Roman"/>
          <w:sz w:val="32"/>
          <w:szCs w:val="32"/>
        </w:rPr>
        <w:t>100%以下。</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hint="eastAsia" w:ascii="Times New Roman" w:hAnsi="Times New Roman" w:eastAsia="楷体_GB2312" w:cs="Times New Roman"/>
          <w:b w:val="0"/>
          <w:bCs w:val="0"/>
        </w:rPr>
        <w:t>（三</w:t>
      </w:r>
      <w:r>
        <w:rPr>
          <w:rFonts w:ascii="Times New Roman" w:hAnsi="Times New Roman" w:eastAsia="楷体_GB2312" w:cs="Times New Roman"/>
          <w:b w:val="0"/>
          <w:bCs w:val="0"/>
        </w:rPr>
        <w:t>）产出指标绩效情况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1、数量指标完成情况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该指标主要考核</w:t>
      </w:r>
      <w:r>
        <w:rPr>
          <w:rFonts w:hint="eastAsia" w:ascii="Times New Roman" w:hAnsi="Times New Roman" w:eastAsia="仿宋_GB2312" w:cs="Times New Roman"/>
          <w:sz w:val="32"/>
          <w:szCs w:val="32"/>
        </w:rPr>
        <w:t>园区年度各项经济指标完成情况、年度重点拆迁项目完成数量。该指标设置18分，绩效评价得分18分。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2021年度园区完成技工贸总收入同比增长9.03%；完成规模工业总产值（含物流）同比增长18.16%；完成固定资产投资同比增长5.1%；完成产业投资同比增长18.3%；完成税收总额41.25亿元，同比增长20.1%。累计合同引资113亿元，其中：投资30亿元以上项目1个、10亿元项目以上5个、1-10亿元项目8个，引资质效实现了新的突破。大飞机地面动力学地面科技重大基础设施入选“长沙市十个重大科技创新标志性项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（2）2021年度园区铺排拆迁项目地块44宗，征地总面积约4160亩，其中新启动拆迁项目地块25宗、征地面积约1138亩；续拆扫尾项目地块19宗、征地面积约3022亩。截至目前，已结算26宗，交地22宗，累计腾地约3600亩。</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质量指标绩效情况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该指标主要考核</w:t>
      </w:r>
      <w:r>
        <w:rPr>
          <w:rFonts w:hint="eastAsia" w:ascii="Times New Roman" w:hAnsi="Times New Roman" w:eastAsia="仿宋_GB2312" w:cs="Times New Roman"/>
          <w:sz w:val="32"/>
          <w:szCs w:val="32"/>
        </w:rPr>
        <w:t>园区人才培养、引进以及配套能力提升情况、协调解决企业生产经营和项目建设中存在的具体困难和问题、加大服务企业力度，优化营商环境以及园区内企业资本市场全面可持续发展几个方面</w:t>
      </w:r>
      <w:r>
        <w:rPr>
          <w:rFonts w:ascii="Times New Roman" w:hAnsi="Times New Roman" w:eastAsia="仿宋_GB2312" w:cs="Times New Roman"/>
          <w:sz w:val="32"/>
          <w:szCs w:val="32"/>
        </w:rPr>
        <w:t>。该指标共</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分，绩效评价得分</w:t>
      </w: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分。主要绩效如下：</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园区在人才引进和培养方面一是实施好“朝霞工程”人才培养计划。深化落实《长沙金霞经济开发区人才培养“朝霞工程”实施计划》，对入库人员实行动态管理，定期调整、能进能出，变“冷冻库”为“保鲜库”。二是打造好“青年金霞”文化品牌。围绕园区招商引资、产业发展、项目建设等重点，开展“金霞讲堂”等专题活动，采用邀请专家教授授课、优秀干部职工分享、优秀企业人士分享、员工自主交流等方式，激发干部职工实干创业活力。三是激发动力，释放活力。依托“青年金霞”篮球队，组织开展篮球友谊赛；开展工会团建活动，丰富职工文体生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（2）园区企业德荣医疗、恒昌医药正在积极筹备上市。园区新增12家长沙智能制造试点企业，1家省工信小巨人企业，9家市工信小巨人企业，2家省级智能制造系统解决方案服务商。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2021年园区共签收12345市民政务热线工单470条，同比增长30%；办理工单296条，同比增长24%，热线满意率96.2%。落实政务服务“三化”工作，对已赋权的44个事项进行梳理，推动数据资源共享，提高网办深度，让企业办事更快捷、高效；落实政务服务“好差评”系统配置工作；落实省、市优化营商环境测评、评估、“一件事一次办”小程序推广等工作。</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四）</w:t>
      </w:r>
      <w:r>
        <w:rPr>
          <w:rFonts w:ascii="Times New Roman" w:hAnsi="Times New Roman" w:eastAsia="楷体_GB2312" w:cs="Times New Roman"/>
          <w:b w:val="0"/>
          <w:bCs w:val="0"/>
        </w:rPr>
        <w:t>效益指标绩效情况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该指标主要考核园区取得上级部门评价以及园区诚信廉政建设情况。该指标设置10分，绩效评价得分10分。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1、园区取得上级荣誉情况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度园区在全市绩效考核中获省级园区第一名、优秀等次，在全区绩效考核中获评一等。还被评为全省商务工作先进园区、湖南省优秀物流园区、全省商务工作（口岸）先进单位（金霞保税物流中心）以及湖南省环保诚信园区。创新工程规划许可证、施工许可证“双证齐发”模式，经验做法获得长沙市行政审批局肯定，并收录至《2021年长沙市“一件事一次办”“优化营商环境“经验材料汇编》。</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2、园区诚信廉政情况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园区围绕落实全面从严治党主体责任，印发个性化的《纪实手册》，实行对标对表的纪实管理，督促领导班子主动扛起管党治党主体责任。围绕加强“一把手”和对领导班子监督，组织签订《领导干部廉政承诺书》75份。参照巡视巡察工作的方式，制定《长沙金霞经济开发区巡检工作办法》，由纪工委牵头对园区内设机构和纪检监察工作对象单位创造性地开展巡回监督检查。全年以来园区党政领导班子开展谈话提醒507人次，纪工委组织谈话66人次。</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五</w:t>
      </w:r>
      <w:r>
        <w:rPr>
          <w:rFonts w:ascii="Times New Roman" w:hAnsi="Times New Roman" w:eastAsia="楷体_GB2312" w:cs="Times New Roman"/>
          <w:b w:val="0"/>
          <w:bCs w:val="0"/>
        </w:rPr>
        <w:t>）满意度指标绩效情况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该指标主要考核社会群众及园区企业满意度，该指标共</w:t>
      </w: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分，绩效评价得分</w:t>
      </w:r>
      <w:r>
        <w:rPr>
          <w:rFonts w:hint="eastAsia" w:ascii="Times New Roman" w:hAnsi="Times New Roman" w:eastAsia="仿宋_GB2312" w:cs="Times New Roman"/>
          <w:sz w:val="32"/>
          <w:szCs w:val="32"/>
        </w:rPr>
        <w:t>9.4</w:t>
      </w:r>
      <w:r>
        <w:rPr>
          <w:rFonts w:ascii="Times New Roman" w:hAnsi="Times New Roman" w:eastAsia="仿宋_GB2312" w:cs="Times New Roman"/>
          <w:sz w:val="32"/>
          <w:szCs w:val="32"/>
        </w:rPr>
        <w:t>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园区在2021年开展了“火炬暖企”金霞行动，建立领导干部帮扶企业长效机制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园区“金融服务白名单”制度，成立省药品审评与不良反应监测中心金霞创新服务站、长沙产业金融服务站金霞经开区站，有效</w:t>
      </w:r>
      <w:r>
        <w:rPr>
          <w:rFonts w:hint="eastAsia" w:ascii="Times New Roman" w:hAnsi="Times New Roman" w:eastAsia="仿宋_GB2312" w:cs="Times New Roman"/>
          <w:sz w:val="32"/>
          <w:szCs w:val="32"/>
        </w:rPr>
        <w:t>帮助</w:t>
      </w:r>
      <w:r>
        <w:rPr>
          <w:rFonts w:ascii="Times New Roman" w:hAnsi="Times New Roman" w:eastAsia="仿宋_GB2312" w:cs="Times New Roman"/>
          <w:sz w:val="32"/>
          <w:szCs w:val="32"/>
        </w:rPr>
        <w:t>企业降成本、稳用工、拓市场</w:t>
      </w:r>
      <w:r>
        <w:rPr>
          <w:rFonts w:hint="eastAsia" w:ascii="Times New Roman" w:hAnsi="Times New Roman" w:eastAsia="仿宋_GB2312" w:cs="Times New Roman"/>
          <w:sz w:val="32"/>
          <w:szCs w:val="32"/>
        </w:rPr>
        <w:t>，园区企业归属感进一步增强</w:t>
      </w:r>
      <w:r>
        <w:rPr>
          <w:rFonts w:ascii="Times New Roman" w:hAnsi="Times New Roman" w:eastAsia="仿宋_GB2312" w:cs="Times New Roman"/>
          <w:sz w:val="32"/>
          <w:szCs w:val="32"/>
        </w:rPr>
        <w:t>。但</w:t>
      </w:r>
      <w:r>
        <w:rPr>
          <w:rFonts w:hint="eastAsia" w:ascii="Times New Roman" w:hAnsi="Times New Roman" w:eastAsia="仿宋_GB2312" w:cs="Times New Roman"/>
          <w:sz w:val="32"/>
          <w:szCs w:val="32"/>
        </w:rPr>
        <w:t>园区在基础配套设施、商业配套，公交车线路覆盖、公交班次以及基层工作人员政策知悉度等几个方面存在满意度不高的情况。</w:t>
      </w:r>
    </w:p>
    <w:p>
      <w:pPr>
        <w:pStyle w:val="2"/>
        <w:keepNext w:val="0"/>
        <w:keepLines w:val="0"/>
        <w:spacing w:before="0" w:after="0" w:line="560" w:lineRule="exact"/>
        <w:ind w:firstLine="640" w:firstLineChars="200"/>
        <w:rPr>
          <w:rFonts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rPr>
        <w:t>六</w:t>
      </w:r>
      <w:r>
        <w:rPr>
          <w:rFonts w:ascii="Times New Roman" w:hAnsi="Times New Roman" w:eastAsia="黑体" w:cs="Times New Roman"/>
          <w:b w:val="0"/>
          <w:bCs w:val="0"/>
          <w:sz w:val="32"/>
          <w:szCs w:val="32"/>
        </w:rPr>
        <w:t>、存在的问题</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（一）园区综合配套能力有待进一步提升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不论是从园区相对成熟的金霞组团片区来看，还是从待发展的沙坪组团、关公湖等片区来看，园区在吃、穿、娱、住、行、医、教等方面配套相</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不足，已有园区企业出现招人难、留人难，意向企业落地意愿不强等问题。</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hint="eastAsia" w:ascii="Times New Roman" w:hAnsi="Times New Roman" w:eastAsia="楷体_GB2312" w:cs="Times New Roman"/>
          <w:b w:val="0"/>
          <w:bCs w:val="0"/>
        </w:rPr>
        <w:t>（二）客商以及园区企业满意度不高</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通过第三方对客商及园区企业进行电话调查，园区企业和职工主要对园区的基础配套设施、商业配套，公交车线路覆盖、公交班次、基层工作人员政策知悉度等几个方面提出了较多意见。</w:t>
      </w:r>
    </w:p>
    <w:p>
      <w:pPr>
        <w:pStyle w:val="2"/>
        <w:keepNext w:val="0"/>
        <w:keepLines w:val="0"/>
        <w:spacing w:before="0" w:after="0" w:line="560" w:lineRule="exact"/>
        <w:ind w:firstLine="640" w:firstLineChars="200"/>
        <w:rPr>
          <w:rFonts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rPr>
        <w:t>七</w:t>
      </w:r>
      <w:r>
        <w:rPr>
          <w:rFonts w:ascii="Times New Roman" w:hAnsi="Times New Roman" w:eastAsia="黑体" w:cs="Times New Roman"/>
          <w:b w:val="0"/>
          <w:bCs w:val="0"/>
          <w:sz w:val="32"/>
          <w:szCs w:val="32"/>
        </w:rPr>
        <w:t>、下一步改进措施</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hint="eastAsia" w:ascii="Times New Roman" w:hAnsi="Times New Roman" w:eastAsia="楷体_GB2312" w:cs="Times New Roman"/>
          <w:b w:val="0"/>
          <w:bCs w:val="0"/>
        </w:rPr>
        <w:t>（一）不断完善</w:t>
      </w:r>
      <w:r>
        <w:rPr>
          <w:rFonts w:ascii="Times New Roman" w:hAnsi="Times New Roman" w:eastAsia="楷体_GB2312" w:cs="Times New Roman"/>
          <w:b w:val="0"/>
          <w:bCs w:val="0"/>
        </w:rPr>
        <w:t>园区综合配套能力</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着力改善园区企业员工生活条件，加大对园区及其周边社区服务中心、文化、体育、教育、卫生等民生设施建设力度，为园区企业职工解决吃、住、行、就医、子女上学等实际问题，解决企业发展后顾之忧。鼓励人社、金融、工商、通讯、物流、交通等部门在园区设立便民服务网点，完善园区公共服务网络，确保园区的持续、稳定、健康发展。</w:t>
      </w:r>
    </w:p>
    <w:p>
      <w:pPr>
        <w:pStyle w:val="3"/>
        <w:keepNext w:val="0"/>
        <w:keepLines w:val="0"/>
        <w:spacing w:before="0" w:after="0" w:line="560" w:lineRule="exact"/>
        <w:ind w:firstLine="640" w:firstLineChars="200"/>
        <w:rPr>
          <w:rFonts w:ascii="Times New Roman" w:hAnsi="Times New Roman" w:eastAsia="楷体_GB2312" w:cs="Times New Roman"/>
          <w:b w:val="0"/>
          <w:bCs w:val="0"/>
        </w:rPr>
      </w:pPr>
      <w:r>
        <w:rPr>
          <w:rFonts w:ascii="Times New Roman" w:hAnsi="Times New Roman" w:eastAsia="楷体_GB2312" w:cs="Times New Roman"/>
          <w:b w:val="0"/>
          <w:bCs w:val="0"/>
        </w:rPr>
        <w:t>（</w:t>
      </w:r>
      <w:r>
        <w:rPr>
          <w:rFonts w:hint="eastAsia" w:ascii="Times New Roman" w:hAnsi="Times New Roman" w:eastAsia="楷体_GB2312" w:cs="Times New Roman"/>
          <w:b w:val="0"/>
          <w:bCs w:val="0"/>
        </w:rPr>
        <w:t>二</w:t>
      </w:r>
      <w:r>
        <w:rPr>
          <w:rFonts w:ascii="Times New Roman" w:hAnsi="Times New Roman" w:eastAsia="楷体_GB2312" w:cs="Times New Roman"/>
          <w:b w:val="0"/>
          <w:bCs w:val="0"/>
        </w:rPr>
        <w:t>）提高服务水平，提升满意度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建议</w:t>
      </w:r>
      <w:r>
        <w:rPr>
          <w:rFonts w:hint="eastAsia" w:ascii="Times New Roman" w:hAnsi="Times New Roman" w:eastAsia="仿宋_GB2312" w:cs="Times New Roman"/>
          <w:sz w:val="32"/>
          <w:szCs w:val="32"/>
        </w:rPr>
        <w:t>加强</w:t>
      </w:r>
      <w:r>
        <w:rPr>
          <w:rFonts w:ascii="Times New Roman" w:hAnsi="Times New Roman" w:eastAsia="仿宋_GB2312" w:cs="Times New Roman"/>
          <w:sz w:val="32"/>
          <w:szCs w:val="32"/>
        </w:rPr>
        <w:t>园区工作人员的培训，特别是</w:t>
      </w:r>
      <w:r>
        <w:rPr>
          <w:rFonts w:hint="eastAsia" w:ascii="Times New Roman" w:hAnsi="Times New Roman" w:eastAsia="仿宋_GB2312" w:cs="Times New Roman"/>
          <w:sz w:val="32"/>
          <w:szCs w:val="32"/>
        </w:rPr>
        <w:t>加强</w:t>
      </w:r>
      <w:r>
        <w:rPr>
          <w:rFonts w:ascii="Times New Roman" w:hAnsi="Times New Roman" w:eastAsia="仿宋_GB2312" w:cs="Times New Roman"/>
          <w:sz w:val="32"/>
          <w:szCs w:val="32"/>
        </w:rPr>
        <w:t>对各类政策的</w:t>
      </w:r>
      <w:r>
        <w:rPr>
          <w:rFonts w:hint="eastAsia" w:ascii="Times New Roman" w:hAnsi="Times New Roman" w:eastAsia="仿宋_GB2312" w:cs="Times New Roman"/>
          <w:sz w:val="32"/>
          <w:szCs w:val="32"/>
        </w:rPr>
        <w:t>掌握</w:t>
      </w:r>
      <w:r>
        <w:rPr>
          <w:rFonts w:ascii="Times New Roman" w:hAnsi="Times New Roman" w:eastAsia="仿宋_GB2312" w:cs="Times New Roman"/>
          <w:sz w:val="32"/>
          <w:szCs w:val="32"/>
        </w:rPr>
        <w:t>程度，将服务落入细节，不断提升</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水平。多听取</w:t>
      </w:r>
      <w:r>
        <w:rPr>
          <w:rFonts w:hint="eastAsia" w:ascii="Times New Roman" w:hAnsi="Times New Roman" w:eastAsia="仿宋_GB2312" w:cs="Times New Roman"/>
          <w:sz w:val="32"/>
          <w:szCs w:val="32"/>
        </w:rPr>
        <w:t>客</w:t>
      </w:r>
      <w:r>
        <w:rPr>
          <w:rFonts w:ascii="Times New Roman" w:hAnsi="Times New Roman" w:eastAsia="仿宋_GB2312" w:cs="Times New Roman"/>
          <w:sz w:val="32"/>
          <w:szCs w:val="32"/>
        </w:rPr>
        <w:t>商、企业的呼声，主动了解需求，不断提升满意度。</w:t>
      </w:r>
    </w:p>
    <w:p>
      <w:pPr>
        <w:pStyle w:val="2"/>
        <w:keepNext w:val="0"/>
        <w:keepLines w:val="0"/>
        <w:spacing w:before="0" w:after="0" w:line="560" w:lineRule="exact"/>
        <w:ind w:firstLine="640" w:firstLineChars="200"/>
        <w:rPr>
          <w:rFonts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rPr>
        <w:t>八</w:t>
      </w:r>
      <w:r>
        <w:rPr>
          <w:rFonts w:ascii="Times New Roman" w:hAnsi="Times New Roman" w:eastAsia="黑体" w:cs="Times New Roman"/>
          <w:b w:val="0"/>
          <w:bCs w:val="0"/>
          <w:sz w:val="32"/>
          <w:szCs w:val="32"/>
        </w:rPr>
        <w:t>、综合评价情况及评价结论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综合上述绩效评价情况，</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较好地完成了2021年度的目标任务。2021年度部门整体支出绩效</w:t>
      </w:r>
      <w:r>
        <w:rPr>
          <w:rFonts w:hint="eastAsia" w:ascii="Times New Roman" w:hAnsi="Times New Roman" w:eastAsia="仿宋_GB2312" w:cs="Times New Roman"/>
          <w:sz w:val="32"/>
          <w:szCs w:val="32"/>
          <w:lang w:val="en-US" w:eastAsia="zh-CN"/>
        </w:rPr>
        <w:t>自评</w:t>
      </w:r>
      <w:r>
        <w:rPr>
          <w:rFonts w:ascii="Times New Roman" w:hAnsi="Times New Roman" w:eastAsia="仿宋_GB2312" w:cs="Times New Roman"/>
          <w:sz w:val="32"/>
          <w:szCs w:val="32"/>
        </w:rPr>
        <w:t>得分为9</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.4分。</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附表：</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、2021年度部门整体支出绩效</w:t>
      </w:r>
      <w:r>
        <w:rPr>
          <w:rFonts w:hint="eastAsia" w:ascii="Times New Roman" w:hAnsi="Times New Roman" w:eastAsia="仿宋_GB2312" w:cs="Times New Roman"/>
          <w:sz w:val="32"/>
          <w:szCs w:val="32"/>
          <w:lang w:val="en-US" w:eastAsia="zh-CN"/>
        </w:rPr>
        <w:t>自评</w:t>
      </w:r>
      <w:r>
        <w:rPr>
          <w:rFonts w:ascii="Times New Roman" w:hAnsi="Times New Roman" w:eastAsia="仿宋_GB2312" w:cs="Times New Roman"/>
          <w:sz w:val="32"/>
          <w:szCs w:val="32"/>
        </w:rPr>
        <w:t>表</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jc w:val="right"/>
        <w:rPr>
          <w:rFonts w:ascii="Times New Roman" w:hAnsi="Times New Roman" w:eastAsia="仿宋_GB2312" w:cs="Times New Roman"/>
          <w:sz w:val="32"/>
          <w:szCs w:val="32"/>
        </w:rPr>
      </w:pPr>
    </w:p>
    <w:p>
      <w:pPr>
        <w:jc w:val="right"/>
        <w:rPr>
          <w:rFonts w:ascii="Times New Roman" w:hAnsi="Times New Roman" w:eastAsia="仿宋_GB2312" w:cs="Times New Roman"/>
          <w:sz w:val="32"/>
          <w:szCs w:val="32"/>
        </w:rPr>
        <w:sectPr>
          <w:footerReference r:id="rId3" w:type="default"/>
          <w:pgSz w:w="11906" w:h="16838"/>
          <w:pgMar w:top="1440" w:right="849" w:bottom="1440" w:left="1800" w:header="851" w:footer="992" w:gutter="0"/>
          <w:cols w:space="425" w:num="1"/>
          <w:titlePg/>
          <w:docGrid w:type="lines" w:linePitch="312" w:charSpace="0"/>
        </w:sectPr>
      </w:pPr>
    </w:p>
    <w:p>
      <w:pPr>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2021年度部门整体支出绩效</w:t>
      </w:r>
      <w:r>
        <w:rPr>
          <w:rFonts w:hint="eastAsia" w:ascii="Times New Roman" w:hAnsi="Times New Roman" w:eastAsia="仿宋_GB2312" w:cs="Times New Roman"/>
          <w:b/>
          <w:bCs/>
          <w:sz w:val="32"/>
          <w:szCs w:val="32"/>
          <w:lang w:val="en-US" w:eastAsia="zh-CN"/>
        </w:rPr>
        <w:t>自评</w:t>
      </w:r>
      <w:r>
        <w:rPr>
          <w:rFonts w:ascii="Times New Roman" w:hAnsi="Times New Roman" w:eastAsia="仿宋_GB2312" w:cs="Times New Roman"/>
          <w:b/>
          <w:bCs/>
          <w:sz w:val="32"/>
          <w:szCs w:val="32"/>
        </w:rPr>
        <w:t>表</w:t>
      </w:r>
    </w:p>
    <w:tbl>
      <w:tblPr>
        <w:tblStyle w:val="11"/>
        <w:tblW w:w="14920" w:type="dxa"/>
        <w:tblInd w:w="93" w:type="dxa"/>
        <w:tblLayout w:type="autofit"/>
        <w:tblCellMar>
          <w:top w:w="0" w:type="dxa"/>
          <w:left w:w="108" w:type="dxa"/>
          <w:bottom w:w="0" w:type="dxa"/>
          <w:right w:w="108" w:type="dxa"/>
        </w:tblCellMar>
      </w:tblPr>
      <w:tblGrid>
        <w:gridCol w:w="1015"/>
        <w:gridCol w:w="1013"/>
        <w:gridCol w:w="1015"/>
        <w:gridCol w:w="486"/>
        <w:gridCol w:w="3829"/>
        <w:gridCol w:w="3813"/>
        <w:gridCol w:w="3217"/>
        <w:gridCol w:w="532"/>
      </w:tblGrid>
      <w:tr>
        <w:tblPrEx>
          <w:tblCellMar>
            <w:top w:w="0" w:type="dxa"/>
            <w:left w:w="108" w:type="dxa"/>
            <w:bottom w:w="0" w:type="dxa"/>
            <w:right w:w="108" w:type="dxa"/>
          </w:tblCellMar>
        </w:tblPrEx>
        <w:trPr>
          <w:trHeight w:val="278" w:hRule="atLeast"/>
          <w:tblHeader/>
        </w:trPr>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一级指标</w:t>
            </w:r>
          </w:p>
        </w:tc>
        <w:tc>
          <w:tcPr>
            <w:tcW w:w="1020" w:type="dxa"/>
            <w:tcBorders>
              <w:top w:val="single" w:color="auto" w:sz="8" w:space="0"/>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二级指标</w:t>
            </w:r>
          </w:p>
        </w:tc>
        <w:tc>
          <w:tcPr>
            <w:tcW w:w="1020" w:type="dxa"/>
            <w:tcBorders>
              <w:top w:val="single" w:color="auto" w:sz="8" w:space="0"/>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三级指标</w:t>
            </w:r>
          </w:p>
        </w:tc>
        <w:tc>
          <w:tcPr>
            <w:tcW w:w="460" w:type="dxa"/>
            <w:tcBorders>
              <w:top w:val="single" w:color="auto" w:sz="8" w:space="0"/>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分值</w:t>
            </w:r>
          </w:p>
        </w:tc>
        <w:tc>
          <w:tcPr>
            <w:tcW w:w="3860" w:type="dxa"/>
            <w:tcBorders>
              <w:top w:val="single" w:color="auto" w:sz="8" w:space="0"/>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评分要点</w:t>
            </w:r>
          </w:p>
        </w:tc>
        <w:tc>
          <w:tcPr>
            <w:tcW w:w="3840" w:type="dxa"/>
            <w:tcBorders>
              <w:top w:val="single" w:color="auto" w:sz="8" w:space="0"/>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评分标准</w:t>
            </w:r>
          </w:p>
        </w:tc>
        <w:tc>
          <w:tcPr>
            <w:tcW w:w="3240" w:type="dxa"/>
            <w:tcBorders>
              <w:top w:val="single" w:color="auto" w:sz="8" w:space="0"/>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评价过程</w:t>
            </w:r>
          </w:p>
        </w:tc>
        <w:tc>
          <w:tcPr>
            <w:tcW w:w="460" w:type="dxa"/>
            <w:tcBorders>
              <w:top w:val="single" w:color="auto" w:sz="8" w:space="0"/>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得分</w:t>
            </w:r>
          </w:p>
        </w:tc>
      </w:tr>
      <w:tr>
        <w:tblPrEx>
          <w:tblCellMar>
            <w:top w:w="0" w:type="dxa"/>
            <w:left w:w="108" w:type="dxa"/>
            <w:bottom w:w="0" w:type="dxa"/>
            <w:right w:w="108" w:type="dxa"/>
          </w:tblCellMar>
        </w:tblPrEx>
        <w:trPr>
          <w:trHeight w:val="270" w:hRule="atLeast"/>
        </w:trPr>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预算管理（12分）</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预算执行</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预算执行率</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10</w:t>
            </w: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预算完成率=（预算完成数/预算数）×100%</w:t>
            </w:r>
          </w:p>
        </w:tc>
        <w:tc>
          <w:tcPr>
            <w:tcW w:w="38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全年预算完成率95%以上计10分，95-90%（含），计6分，90-80%（含），计5分，小于80%不得分。</w:t>
            </w:r>
          </w:p>
        </w:tc>
        <w:tc>
          <w:tcPr>
            <w:tcW w:w="32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全年预算执行率100%，不扣分。</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10</w:t>
            </w: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预算完成数：部门（单位）本年度实际完成的预算数。</w:t>
            </w:r>
          </w:p>
        </w:tc>
        <w:tc>
          <w:tcPr>
            <w:tcW w:w="384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5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预算数：财政部门批复的本年度部门（单位）预算数及追加的项目预算数。</w:t>
            </w:r>
          </w:p>
        </w:tc>
        <w:tc>
          <w:tcPr>
            <w:tcW w:w="384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713"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预算执行</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“三公经费”控制率</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2</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“三公经费”控制率=（“三公经费”实际支出数/“三公经费”预算安排数）×100%。不超当年预算，不超上年决算。</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“三公经费”控制率100%以下（含）计2分，每超出1%扣0.15分，扣完为止。</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全年“三公经费”控制率7.22%，不扣分。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2</w:t>
            </w:r>
          </w:p>
        </w:tc>
      </w:tr>
      <w:tr>
        <w:tblPrEx>
          <w:tblCellMar>
            <w:top w:w="0" w:type="dxa"/>
            <w:left w:w="108" w:type="dxa"/>
            <w:bottom w:w="0" w:type="dxa"/>
            <w:right w:w="108" w:type="dxa"/>
          </w:tblCellMar>
        </w:tblPrEx>
        <w:trPr>
          <w:trHeight w:val="690" w:hRule="atLeast"/>
        </w:trPr>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过程管理（18分）</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部门管理</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管理制度健全性</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2</w:t>
            </w: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部门（单位）内控制度、内部财务管理制度和会计核算制度是否健全；</w:t>
            </w:r>
          </w:p>
        </w:tc>
        <w:tc>
          <w:tcPr>
            <w:tcW w:w="3840" w:type="dxa"/>
            <w:tcBorders>
              <w:top w:val="nil"/>
              <w:left w:val="nil"/>
              <w:bottom w:val="nil"/>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部门（单位）内控制度、内部财务管理制度和会计核算制度健全，计1分，否则酌情扣分；</w:t>
            </w:r>
          </w:p>
        </w:tc>
        <w:tc>
          <w:tcPr>
            <w:tcW w:w="32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管委会内控制度、内部财务管理制度和会计核算制度较健全，管理制度合法、合规、完整且得到有效执行，不扣分。</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2</w:t>
            </w:r>
          </w:p>
        </w:tc>
      </w:tr>
      <w:tr>
        <w:tblPrEx>
          <w:tblCellMar>
            <w:top w:w="0" w:type="dxa"/>
            <w:left w:w="108" w:type="dxa"/>
            <w:bottom w:w="0" w:type="dxa"/>
            <w:right w:w="108" w:type="dxa"/>
          </w:tblCellMar>
        </w:tblPrEx>
        <w:trPr>
          <w:trHeight w:val="465"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相关管理制度是否合法、合规、完整；</w:t>
            </w:r>
          </w:p>
        </w:tc>
        <w:tc>
          <w:tcPr>
            <w:tcW w:w="3840" w:type="dxa"/>
            <w:tcBorders>
              <w:top w:val="nil"/>
              <w:left w:val="nil"/>
              <w:bottom w:val="nil"/>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管理制度合法、合规、完整，计0.5分，否则酌情扣分；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8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③</w:t>
            </w:r>
            <w:r>
              <w:rPr>
                <w:rFonts w:eastAsia="仿宋_GB2312" w:asciiTheme="majorBidi" w:hAnsiTheme="majorBidi" w:cstheme="majorBidi"/>
                <w:sz w:val="18"/>
                <w:szCs w:val="18"/>
              </w:rPr>
              <w:t>相关管理制度是否得到有效执行；</w:t>
            </w:r>
          </w:p>
        </w:tc>
        <w:tc>
          <w:tcPr>
            <w:tcW w:w="3840" w:type="dxa"/>
            <w:tcBorders>
              <w:top w:val="nil"/>
              <w:left w:val="nil"/>
              <w:bottom w:val="nil"/>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hint="eastAsia" w:ascii="宋体" w:hAnsi="宋体" w:eastAsia="宋体" w:cs="宋体"/>
                <w:sz w:val="18"/>
                <w:szCs w:val="18"/>
              </w:rPr>
              <w:t>③</w:t>
            </w:r>
            <w:r>
              <w:rPr>
                <w:rFonts w:eastAsia="仿宋_GB2312" w:asciiTheme="majorBidi" w:hAnsiTheme="majorBidi" w:cstheme="majorBidi"/>
                <w:sz w:val="18"/>
                <w:szCs w:val="18"/>
              </w:rPr>
              <w:t>管理制度得到有效执行，计1分，1例不符合扣0.2分；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73"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④</w:t>
            </w:r>
            <w:r>
              <w:rPr>
                <w:rFonts w:eastAsia="仿宋_GB2312" w:asciiTheme="majorBidi" w:hAnsiTheme="majorBidi" w:cstheme="majorBidi"/>
                <w:sz w:val="18"/>
                <w:szCs w:val="18"/>
              </w:rPr>
              <w:t>落实政府“过紧日子”政策的具体举措及实施情况。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hint="eastAsia" w:ascii="宋体" w:hAnsi="宋体" w:eastAsia="宋体" w:cs="宋体"/>
                <w:sz w:val="18"/>
                <w:szCs w:val="18"/>
              </w:rPr>
              <w:t>④</w:t>
            </w:r>
            <w:r>
              <w:rPr>
                <w:rFonts w:eastAsia="仿宋_GB2312" w:asciiTheme="majorBidi" w:hAnsiTheme="majorBidi" w:cstheme="majorBidi"/>
                <w:sz w:val="18"/>
                <w:szCs w:val="18"/>
              </w:rPr>
              <w:t>对非刚性项目支出压减5%及以上，计0.5分，否则不得分。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705"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部门管理</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资金使用规范性</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6</w:t>
            </w: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是否符合国家财经法规和财务管理制度以及有关专项资金管理办法的规定；</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符合国家财经法规和财务管理制度以及有关专项资金管理办法的规定，计1分，1例不符合扣0.2分；</w:t>
            </w:r>
          </w:p>
        </w:tc>
        <w:tc>
          <w:tcPr>
            <w:tcW w:w="32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未发生资金使用不合规现象，不扣分。</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6</w:t>
            </w:r>
          </w:p>
        </w:tc>
      </w:tr>
      <w:tr>
        <w:tblPrEx>
          <w:tblCellMar>
            <w:top w:w="0" w:type="dxa"/>
            <w:left w:w="108" w:type="dxa"/>
            <w:bottom w:w="0" w:type="dxa"/>
            <w:right w:w="108" w:type="dxa"/>
          </w:tblCellMar>
        </w:tblPrEx>
        <w:trPr>
          <w:trHeight w:val="48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资金的支付是否有完整的审批程序和手续；</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资金的支付有完整的审批程序和手续，计1分，1例不符合扣0.2分；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65"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③</w:t>
            </w:r>
            <w:r>
              <w:rPr>
                <w:rFonts w:eastAsia="仿宋_GB2312" w:asciiTheme="majorBidi" w:hAnsiTheme="majorBidi" w:cstheme="majorBidi"/>
                <w:sz w:val="18"/>
                <w:szCs w:val="18"/>
              </w:rPr>
              <w:t>重大项目开支和大额资金使用是否经单位党组集体研究决策；</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③</w:t>
            </w:r>
            <w:r>
              <w:rPr>
                <w:rFonts w:eastAsia="仿宋_GB2312" w:asciiTheme="majorBidi" w:hAnsiTheme="majorBidi" w:cstheme="majorBidi"/>
                <w:sz w:val="18"/>
                <w:szCs w:val="18"/>
              </w:rPr>
              <w:t>重大项目开支和大额资金使用经过单位党组集体研究决策，计1分，1例不符合扣0.2分；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8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④</w:t>
            </w:r>
            <w:r>
              <w:rPr>
                <w:rFonts w:eastAsia="仿宋_GB2312" w:asciiTheme="majorBidi" w:hAnsiTheme="majorBidi" w:cstheme="majorBidi"/>
                <w:sz w:val="18"/>
                <w:szCs w:val="18"/>
              </w:rPr>
              <w:t>是否符合项目预算批复或合同规定的用途；</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④</w:t>
            </w:r>
            <w:r>
              <w:rPr>
                <w:rFonts w:eastAsia="仿宋_GB2312" w:asciiTheme="majorBidi" w:hAnsiTheme="majorBidi" w:cstheme="majorBidi"/>
                <w:sz w:val="18"/>
                <w:szCs w:val="18"/>
              </w:rPr>
              <w:t>符合项目预算批复或合同规定的用途，计1分，1例不符合扣0.2分；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65"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⑤</w:t>
            </w:r>
            <w:r>
              <w:rPr>
                <w:rFonts w:eastAsia="仿宋_GB2312" w:asciiTheme="majorBidi" w:hAnsiTheme="majorBidi" w:cstheme="majorBidi"/>
                <w:sz w:val="18"/>
                <w:szCs w:val="18"/>
              </w:rPr>
              <w:t>是否存在截留、挤占、挪用、虚列支出等情况；</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⑤</w:t>
            </w:r>
            <w:r>
              <w:rPr>
                <w:rFonts w:eastAsia="仿宋_GB2312" w:asciiTheme="majorBidi" w:hAnsiTheme="majorBidi" w:cstheme="majorBidi"/>
                <w:sz w:val="18"/>
                <w:szCs w:val="18"/>
              </w:rPr>
              <w:t>不存在截留、挤占、挪用、虚列支出等情况，计1分，1例不符合本指标6分全扣；</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8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⑥</w:t>
            </w:r>
            <w:r>
              <w:rPr>
                <w:rFonts w:eastAsia="仿宋_GB2312" w:asciiTheme="majorBidi" w:hAnsiTheme="majorBidi" w:cstheme="majorBidi"/>
                <w:sz w:val="18"/>
                <w:szCs w:val="18"/>
              </w:rPr>
              <w:t>是否存在重复申报项目、虚报冒领资金。</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⑥</w:t>
            </w:r>
            <w:r>
              <w:rPr>
                <w:rFonts w:eastAsia="仿宋_GB2312" w:asciiTheme="majorBidi" w:hAnsiTheme="majorBidi" w:cstheme="majorBidi"/>
                <w:sz w:val="18"/>
                <w:szCs w:val="18"/>
              </w:rPr>
              <w:t>不存在重复申报项目、虚报冒领资金，计1分，1例不符合本指标6分全扣。</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8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部门管理</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政府采购规范性</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3</w:t>
            </w: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政府采购预算执行率=（实际政府采购金额/政府采购预算数）×100%；</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政府采购执行率95%-100%计1分，每超过（降低）1%扣0.1分，扣完为止；</w:t>
            </w:r>
          </w:p>
        </w:tc>
        <w:tc>
          <w:tcPr>
            <w:tcW w:w="32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政府采购符合要求，无规避、化整为零等问题，不扣分。</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3</w:t>
            </w:r>
          </w:p>
        </w:tc>
      </w:tr>
      <w:tr>
        <w:tblPrEx>
          <w:tblCellMar>
            <w:top w:w="0" w:type="dxa"/>
            <w:left w:w="108" w:type="dxa"/>
            <w:bottom w:w="0" w:type="dxa"/>
            <w:right w:w="108" w:type="dxa"/>
          </w:tblCellMar>
        </w:tblPrEx>
        <w:trPr>
          <w:trHeight w:val="69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政府采购预算：采购机关根据事业发展计划和行政任务编制的、并经过规定程序批准的年度政府采购计划。</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所有项目依法采购，无规避政府采购或化整为零进行政府采购的行为，并履行验收手续计1分，否则不得分；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675"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预算单位严格执行《政府采购法》，无规避政府采购或化整为零进行政府采购的行为。所有项目必须依法采购，履行验收手续；</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③</w:t>
            </w:r>
            <w:r>
              <w:rPr>
                <w:rFonts w:eastAsia="仿宋_GB2312" w:asciiTheme="majorBidi" w:hAnsiTheme="majorBidi" w:cstheme="majorBidi"/>
                <w:sz w:val="18"/>
                <w:szCs w:val="18"/>
              </w:rPr>
              <w:t>预算单位建立了政府采购内控制度和根据上级文件清理中介机构库得1分，否则不得分。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5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③</w:t>
            </w:r>
            <w:r>
              <w:rPr>
                <w:rFonts w:eastAsia="仿宋_GB2312" w:asciiTheme="majorBidi" w:hAnsiTheme="majorBidi" w:cstheme="majorBidi"/>
                <w:sz w:val="18"/>
                <w:szCs w:val="18"/>
              </w:rPr>
              <w:t>预算单位是否建立健全政府采购内部控制制度，是否根据上级文件清理中介机构库。</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69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部门管理</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资产管理规范性</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2</w:t>
            </w: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资产保存是否完整并有台账；</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资产配置合理符合标准、保管完整，账务管理规范，定期盘点并有台账，账实相符的，计0.5分，发现一例不符，扣0.1分，扣完为止；</w:t>
            </w:r>
          </w:p>
        </w:tc>
        <w:tc>
          <w:tcPr>
            <w:tcW w:w="32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资产保存完整并有台账，资产配置合理，资产账务管理合规、做到了账实相符，资产定期进行盘点并有记录，不扣分。</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2</w:t>
            </w:r>
          </w:p>
        </w:tc>
      </w:tr>
      <w:tr>
        <w:tblPrEx>
          <w:tblCellMar>
            <w:top w:w="0" w:type="dxa"/>
            <w:left w:w="108" w:type="dxa"/>
            <w:bottom w:w="0" w:type="dxa"/>
            <w:right w:w="108" w:type="dxa"/>
          </w:tblCellMar>
        </w:tblPrEx>
        <w:trPr>
          <w:trHeight w:val="72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资产配置是否合理，是否有闲置现象；</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资产处置规范，计0.3分，发现一例不符，扣0.1分，扣完为止；资产无闲置现象，计0.2分，发现一例，扣0.1分，扣完为止；</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65"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③</w:t>
            </w:r>
            <w:r>
              <w:rPr>
                <w:rFonts w:eastAsia="仿宋_GB2312" w:asciiTheme="majorBidi" w:hAnsiTheme="majorBidi" w:cstheme="majorBidi"/>
                <w:sz w:val="18"/>
                <w:szCs w:val="18"/>
              </w:rPr>
              <w:t>资产处置是否规范；</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③</w:t>
            </w:r>
            <w:r>
              <w:rPr>
                <w:rFonts w:eastAsia="仿宋_GB2312" w:asciiTheme="majorBidi" w:hAnsiTheme="majorBidi" w:cstheme="majorBidi"/>
                <w:sz w:val="18"/>
                <w:szCs w:val="18"/>
              </w:rPr>
              <w:t>资产有偿使用或处置收入及时足额上缴，计0.5分，发现未上缴，本项不得分；</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96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④</w:t>
            </w:r>
            <w:r>
              <w:rPr>
                <w:rFonts w:eastAsia="仿宋_GB2312" w:asciiTheme="majorBidi" w:hAnsiTheme="majorBidi" w:cstheme="majorBidi"/>
                <w:sz w:val="18"/>
                <w:szCs w:val="18"/>
              </w:rPr>
              <w:t>资产账务管理是否合规，是否帐实相符；</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④</w:t>
            </w:r>
            <w:r>
              <w:rPr>
                <w:rFonts w:eastAsia="仿宋_GB2312" w:asciiTheme="majorBidi" w:hAnsiTheme="majorBidi" w:cstheme="majorBidi"/>
                <w:sz w:val="18"/>
                <w:szCs w:val="18"/>
              </w:rPr>
              <w:t>资产购置履行政府采购手续，计0.3分，发现一例不符，扣0.1分，扣完为止；外租资产全部走合规程序，计0.2分，发现一例不合规，扣0.1分，扣完为止；</w:t>
            </w: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27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⑤</w:t>
            </w:r>
            <w:r>
              <w:rPr>
                <w:rFonts w:eastAsia="仿宋_GB2312" w:asciiTheme="majorBidi" w:hAnsiTheme="majorBidi" w:cstheme="majorBidi"/>
                <w:sz w:val="18"/>
                <w:szCs w:val="18"/>
              </w:rPr>
              <w:t>资产是否有偿使用或处置收入及时足额上缴；</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⑥</w:t>
            </w:r>
            <w:r>
              <w:rPr>
                <w:rFonts w:eastAsia="仿宋_GB2312" w:asciiTheme="majorBidi" w:hAnsiTheme="majorBidi" w:cstheme="majorBidi"/>
                <w:sz w:val="18"/>
                <w:szCs w:val="18"/>
              </w:rPr>
              <w:t>相关资产购置是否履行政府采购手续，外租资产是否走合规程序；</w:t>
            </w:r>
          </w:p>
        </w:tc>
        <w:tc>
          <w:tcPr>
            <w:tcW w:w="3840" w:type="dxa"/>
            <w:tcBorders>
              <w:top w:val="nil"/>
              <w:left w:val="nil"/>
              <w:bottom w:val="nil"/>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27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⑦</w:t>
            </w:r>
            <w:r>
              <w:rPr>
                <w:rFonts w:eastAsia="仿宋_GB2312" w:asciiTheme="majorBidi" w:hAnsiTheme="majorBidi" w:cstheme="majorBidi"/>
                <w:sz w:val="18"/>
                <w:szCs w:val="18"/>
              </w:rPr>
              <w:t>资产是否定期进行盘点并有记录。</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65"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部门管理</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在职人员控制率</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3</w:t>
            </w: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在职人员控制率=（在职人员数/编制数）×100%。</w:t>
            </w:r>
          </w:p>
        </w:tc>
        <w:tc>
          <w:tcPr>
            <w:tcW w:w="38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在职人员控制率</w:t>
            </w:r>
            <w:r>
              <w:rPr>
                <w:rFonts w:hint="eastAsia" w:ascii="宋体" w:hAnsi="宋体" w:eastAsia="宋体" w:cs="宋体"/>
                <w:sz w:val="18"/>
                <w:szCs w:val="18"/>
              </w:rPr>
              <w:t>≦</w:t>
            </w:r>
            <w:r>
              <w:rPr>
                <w:rFonts w:eastAsia="仿宋_GB2312" w:asciiTheme="majorBidi" w:hAnsiTheme="majorBidi" w:cstheme="majorBidi"/>
                <w:sz w:val="18"/>
                <w:szCs w:val="18"/>
              </w:rPr>
              <w:t>100%计2分，每超出1%扣0.2分，扣完为止。聘用人员实际使用数小于等于编办人社部门批复数，计1分，否则不得分。</w:t>
            </w:r>
          </w:p>
        </w:tc>
        <w:tc>
          <w:tcPr>
            <w:tcW w:w="32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在职人员与聘用人员均未超标，不扣分。</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3</w:t>
            </w:r>
          </w:p>
        </w:tc>
      </w:tr>
      <w:tr>
        <w:tblPrEx>
          <w:tblCellMar>
            <w:top w:w="0" w:type="dxa"/>
            <w:left w:w="108" w:type="dxa"/>
            <w:bottom w:w="0" w:type="dxa"/>
            <w:right w:w="108" w:type="dxa"/>
          </w:tblCellMar>
        </w:tblPrEx>
        <w:trPr>
          <w:trHeight w:val="27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聘用人员控制率</w:t>
            </w:r>
            <w:r>
              <w:rPr>
                <w:rFonts w:hint="eastAsia" w:ascii="宋体" w:hAnsi="宋体" w:eastAsia="宋体" w:cs="宋体"/>
                <w:sz w:val="18"/>
                <w:szCs w:val="18"/>
              </w:rPr>
              <w:t>≦</w:t>
            </w:r>
            <w:r>
              <w:rPr>
                <w:rFonts w:eastAsia="仿宋_GB2312" w:asciiTheme="majorBidi" w:hAnsiTheme="majorBidi" w:cstheme="majorBidi"/>
                <w:sz w:val="18"/>
                <w:szCs w:val="18"/>
              </w:rPr>
              <w:t>人社和编办共同批复的人数；</w:t>
            </w:r>
          </w:p>
        </w:tc>
        <w:tc>
          <w:tcPr>
            <w:tcW w:w="3840" w:type="dxa"/>
            <w:vMerge w:val="continue"/>
            <w:tcBorders>
              <w:top w:val="nil"/>
              <w:left w:val="single" w:color="auto" w:sz="8" w:space="0"/>
              <w:bottom w:val="single" w:color="000000" w:sz="8" w:space="0"/>
              <w:right w:val="single" w:color="auto" w:sz="8" w:space="0"/>
            </w:tcBorders>
            <w:vAlign w:val="center"/>
          </w:tcPr>
          <w:p>
            <w:pPr>
              <w:spacing w:line="240" w:lineRule="exact"/>
              <w:jc w:val="left"/>
              <w:rPr>
                <w:rFonts w:eastAsia="仿宋_GB2312" w:asciiTheme="majorBidi" w:hAnsiTheme="majorBidi" w:cstheme="majorBidi"/>
                <w:sz w:val="18"/>
                <w:szCs w:val="18"/>
              </w:rPr>
            </w:pP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部门管理</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信息公开性</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2</w:t>
            </w:r>
          </w:p>
        </w:tc>
        <w:tc>
          <w:tcPr>
            <w:tcW w:w="3860" w:type="dxa"/>
            <w:tcBorders>
              <w:top w:val="nil"/>
              <w:left w:val="nil"/>
              <w:bottom w:val="nil"/>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无涉密情况的预算单位按规定及时、准确、完整的公开预决算和绩效管理信息；</w:t>
            </w:r>
          </w:p>
        </w:tc>
        <w:tc>
          <w:tcPr>
            <w:tcW w:w="38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①②</w:t>
            </w:r>
            <w:r>
              <w:rPr>
                <w:rFonts w:eastAsia="仿宋_GB2312" w:asciiTheme="majorBidi" w:hAnsiTheme="majorBidi" w:cstheme="majorBidi"/>
                <w:sz w:val="18"/>
                <w:szCs w:val="18"/>
              </w:rPr>
              <w:t>各计1分，否则，酌情扣分；</w:t>
            </w:r>
          </w:p>
        </w:tc>
        <w:tc>
          <w:tcPr>
            <w:tcW w:w="324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按规定及时、准确、完整的公开预决算和绩效管理信息；基础数据信息和会计信息资料真实、准确、完整，不扣分。</w:t>
            </w:r>
          </w:p>
        </w:tc>
        <w:tc>
          <w:tcPr>
            <w:tcW w:w="46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2</w:t>
            </w:r>
          </w:p>
        </w:tc>
      </w:tr>
      <w:tr>
        <w:tblPrEx>
          <w:tblCellMar>
            <w:top w:w="0" w:type="dxa"/>
            <w:left w:w="108" w:type="dxa"/>
            <w:bottom w:w="0" w:type="dxa"/>
            <w:right w:w="108" w:type="dxa"/>
          </w:tblCellMar>
        </w:tblPrEx>
        <w:trPr>
          <w:trHeight w:val="45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②</w:t>
            </w:r>
            <w:r>
              <w:rPr>
                <w:rFonts w:eastAsia="仿宋_GB2312" w:asciiTheme="majorBidi" w:hAnsiTheme="majorBidi" w:cstheme="majorBidi"/>
                <w:sz w:val="18"/>
                <w:szCs w:val="18"/>
              </w:rPr>
              <w:t>基础数据信息和会计信息资料真实、准确、完整；</w:t>
            </w:r>
          </w:p>
        </w:tc>
        <w:tc>
          <w:tcPr>
            <w:tcW w:w="3840" w:type="dxa"/>
            <w:vMerge w:val="continue"/>
            <w:tcBorders>
              <w:top w:val="nil"/>
              <w:left w:val="single" w:color="auto" w:sz="8" w:space="0"/>
              <w:bottom w:val="single" w:color="000000" w:sz="8" w:space="0"/>
              <w:right w:val="single" w:color="auto" w:sz="8" w:space="0"/>
            </w:tcBorders>
            <w:vAlign w:val="center"/>
          </w:tcPr>
          <w:p>
            <w:pPr>
              <w:spacing w:line="240" w:lineRule="exact"/>
              <w:jc w:val="left"/>
              <w:rPr>
                <w:rFonts w:eastAsia="仿宋_GB2312" w:asciiTheme="majorBidi" w:hAnsiTheme="majorBidi" w:cstheme="majorBidi"/>
                <w:sz w:val="18"/>
                <w:szCs w:val="18"/>
              </w:rPr>
            </w:pPr>
          </w:p>
        </w:tc>
        <w:tc>
          <w:tcPr>
            <w:tcW w:w="324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460" w:type="dxa"/>
            <w:vMerge w:val="continue"/>
            <w:tcBorders>
              <w:top w:val="nil"/>
              <w:left w:val="single" w:color="auto" w:sz="8" w:space="0"/>
              <w:bottom w:val="single" w:color="000000" w:sz="8" w:space="0"/>
              <w:right w:val="single" w:color="auto" w:sz="8" w:space="0"/>
            </w:tcBorders>
            <w:vAlign w:val="center"/>
          </w:tcPr>
          <w:p>
            <w:pPr>
              <w:spacing w:line="240" w:lineRule="exact"/>
              <w:jc w:val="center"/>
              <w:rPr>
                <w:rFonts w:eastAsia="仿宋_GB2312" w:asciiTheme="majorBidi" w:hAnsiTheme="majorBidi" w:cstheme="majorBidi"/>
                <w:sz w:val="18"/>
                <w:szCs w:val="18"/>
              </w:rPr>
            </w:pPr>
          </w:p>
        </w:tc>
      </w:tr>
      <w:tr>
        <w:tblPrEx>
          <w:tblCellMar>
            <w:top w:w="0" w:type="dxa"/>
            <w:left w:w="108" w:type="dxa"/>
            <w:bottom w:w="0" w:type="dxa"/>
            <w:right w:w="108" w:type="dxa"/>
          </w:tblCellMar>
        </w:tblPrEx>
        <w:trPr>
          <w:trHeight w:val="1433" w:hRule="atLeast"/>
        </w:trPr>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产出数量（44分）</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数量指标</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园区年度各项经济指标完成情况</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12</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园区技工贸总收入增长情况；</w:t>
            </w:r>
            <w:r>
              <w:rPr>
                <w:rFonts w:hint="eastAsia" w:ascii="宋体" w:hAnsi="宋体" w:eastAsia="宋体" w:cs="宋体"/>
                <w:sz w:val="18"/>
                <w:szCs w:val="18"/>
              </w:rPr>
              <w:t>②</w:t>
            </w:r>
            <w:r>
              <w:rPr>
                <w:rFonts w:eastAsia="仿宋_GB2312" w:asciiTheme="majorBidi" w:hAnsiTheme="majorBidi" w:cstheme="majorBidi"/>
                <w:sz w:val="18"/>
                <w:szCs w:val="18"/>
              </w:rPr>
              <w:t>园区规模工业总产值（含物流）增长情况；</w:t>
            </w:r>
            <w:r>
              <w:rPr>
                <w:rFonts w:hint="eastAsia" w:ascii="宋体" w:hAnsi="宋体" w:eastAsia="宋体" w:cs="宋体"/>
                <w:sz w:val="18"/>
                <w:szCs w:val="18"/>
              </w:rPr>
              <w:t>③</w:t>
            </w:r>
            <w:r>
              <w:rPr>
                <w:rFonts w:eastAsia="仿宋_GB2312" w:asciiTheme="majorBidi" w:hAnsiTheme="majorBidi" w:cstheme="majorBidi"/>
                <w:sz w:val="18"/>
                <w:szCs w:val="18"/>
              </w:rPr>
              <w:t>园区固定资产投资增长情况；</w:t>
            </w:r>
            <w:r>
              <w:rPr>
                <w:rFonts w:hint="eastAsia" w:ascii="宋体" w:hAnsi="宋体" w:eastAsia="宋体" w:cs="宋体"/>
                <w:sz w:val="18"/>
                <w:szCs w:val="18"/>
              </w:rPr>
              <w:t>④</w:t>
            </w:r>
            <w:r>
              <w:rPr>
                <w:rFonts w:eastAsia="仿宋_GB2312" w:asciiTheme="majorBidi" w:hAnsiTheme="majorBidi" w:cstheme="majorBidi"/>
                <w:sz w:val="18"/>
                <w:szCs w:val="18"/>
              </w:rPr>
              <w:t>园区产业投资增长情况；</w:t>
            </w:r>
            <w:r>
              <w:rPr>
                <w:rFonts w:hint="eastAsia" w:ascii="宋体" w:hAnsi="宋体" w:eastAsia="宋体" w:cs="宋体"/>
                <w:sz w:val="18"/>
                <w:szCs w:val="18"/>
              </w:rPr>
              <w:t>⑤</w:t>
            </w:r>
            <w:r>
              <w:rPr>
                <w:rFonts w:eastAsia="仿宋_GB2312" w:asciiTheme="majorBidi" w:hAnsiTheme="majorBidi" w:cstheme="majorBidi"/>
                <w:sz w:val="18"/>
                <w:szCs w:val="18"/>
              </w:rPr>
              <w:t>园区税收完成情况。</w:t>
            </w:r>
            <w:r>
              <w:rPr>
                <w:rFonts w:hint="eastAsia" w:ascii="宋体" w:hAnsi="宋体" w:eastAsia="宋体" w:cs="宋体"/>
                <w:sz w:val="18"/>
                <w:szCs w:val="18"/>
              </w:rPr>
              <w:t>⑥</w:t>
            </w:r>
            <w:r>
              <w:rPr>
                <w:rFonts w:eastAsia="仿宋_GB2312" w:asciiTheme="majorBidi" w:hAnsiTheme="majorBidi" w:cstheme="majorBidi"/>
                <w:sz w:val="18"/>
                <w:szCs w:val="18"/>
              </w:rPr>
              <w:t>园区年度招商引资完成情况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①②③④⑤⑥</w:t>
            </w:r>
            <w:r>
              <w:rPr>
                <w:rFonts w:eastAsia="仿宋_GB2312" w:asciiTheme="majorBidi" w:hAnsiTheme="majorBidi" w:cstheme="majorBidi"/>
                <w:sz w:val="18"/>
                <w:szCs w:val="18"/>
              </w:rPr>
              <w:t>每项各2分，每少完成一项年度计算扣2分，扣完为止。</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园区完成技工贸总收入同比增长9.03%；完成规模工业总产值（含物流）同比增长18.16%；完成固定资产投资同比增长5.1%；完成产业投资同比增长18.3%；完成税收总额41.25亿元，同比增20.1%；累计合同引资113亿元。不扣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12</w:t>
            </w:r>
          </w:p>
        </w:tc>
      </w:tr>
      <w:tr>
        <w:tblPrEx>
          <w:tblCellMar>
            <w:top w:w="0" w:type="dxa"/>
            <w:left w:w="108" w:type="dxa"/>
            <w:bottom w:w="0" w:type="dxa"/>
            <w:right w:w="108" w:type="dxa"/>
          </w:tblCellMar>
        </w:tblPrEx>
        <w:trPr>
          <w:trHeight w:val="144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数量指标</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重点拆迁项目完成数量</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考核园区重点拆迁项目完成情况。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每发现未完成年度工作计划情况，扣0.5分，扣完为止。</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2021年，园区铺排拆迁项目地块44宗，征地总面积约4160亩，其中新启动拆迁项目地块25宗，征地面积约1138亩；续拆扫尾项目地块19宗，征地面积约3022亩。截至目前，已结算26宗，交地22宗，累计腾地约3600亩。不扣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r>
      <w:tr>
        <w:tblPrEx>
          <w:tblCellMar>
            <w:top w:w="0" w:type="dxa"/>
            <w:left w:w="108" w:type="dxa"/>
            <w:bottom w:w="0" w:type="dxa"/>
            <w:right w:w="108" w:type="dxa"/>
          </w:tblCellMar>
        </w:tblPrEx>
        <w:trPr>
          <w:trHeight w:val="3713"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质量指标</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园区人才培养、引进以及配套能力提升情况</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6</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考核园区在人才引进和配套能力方面情况。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每发现存在不足情况酌情扣分。</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一是实施好“朝霞工程”人才培养计划。深化落实《长沙金霞经济开发区人才培养“朝霞工程”实施计划》，对入库人员实行动态管理，定期调整、能进能出，变“冷冻库”为“保鲜库”。二是打造好“青年金霞”文化品牌。围绕园区招商引资、产业发展、项目建设等重点，开展金霞讲堂等专题活动，采用邀请专家教授授课、优秀干部职工分享、优秀企业人士分享、员工自主交流等方式，激发干部职工干事创业活力。三是激发动力，释放活力。依托“青年金霞”篮球队，组织开展篮球友谊赛；开展工会团建活动，丰富职工文体生活。园区在医、教、文等方面还存在不足，酌情扣1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r>
      <w:tr>
        <w:tblPrEx>
          <w:tblCellMar>
            <w:top w:w="0" w:type="dxa"/>
            <w:left w:w="108" w:type="dxa"/>
            <w:bottom w:w="0" w:type="dxa"/>
            <w:right w:w="108" w:type="dxa"/>
          </w:tblCellMar>
        </w:tblPrEx>
        <w:trPr>
          <w:trHeight w:val="1583"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质量指标</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协调解决企业生产经营和项目建设中存在的具体困难和问题，加大服务企业力度</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6</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考核园区为园区企业提供服务的情况。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每发现未协调解决情况，扣0.5分，扣完为止。</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2021年签收12345市民政务热线工单470条，同比增长30%;办理工单296条，同比增长24%,热线满意率96.2%。落实政务服务“三化”工作，对已赋权的44个事项进行梳理，推动数据资源共享，提高网办深度，让企业办事更快捷、高效；落实政务服务“好差评”系统配置工作；落实省、市优化营商环境测评、评估、 “一件事一次办”小程序推广等工作，积极组织企业推广并及时提供建筑许可指标数据等。不扣分。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6</w:t>
            </w:r>
          </w:p>
        </w:tc>
      </w:tr>
      <w:tr>
        <w:tblPrEx>
          <w:tblCellMar>
            <w:top w:w="0" w:type="dxa"/>
            <w:left w:w="108" w:type="dxa"/>
            <w:bottom w:w="0" w:type="dxa"/>
            <w:right w:w="108" w:type="dxa"/>
          </w:tblCellMar>
        </w:tblPrEx>
        <w:trPr>
          <w:trHeight w:val="1913"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质量指标</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优化营商环境</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10</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考核园区为园区企业提供服务的情况。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每发现未完成年度工作计划情况，扣0.5分，扣完为止。</w:t>
            </w:r>
            <w:bookmarkStart w:id="0" w:name="_GoBack"/>
            <w:bookmarkEnd w:id="0"/>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深入推进简政放权，申请市区赋权39项；“提前介入+模拟审批”，实现项目当天规划许可、施工许可“双证齐”；“告知承诺+帮代办”，实现“交地即开工”；优化项目审批流程，基本实现所有审批事项在承办局室内办结、工业投资项目审批全流程在36个工作日内办结，行政审批效能提速增效。通过建立审核兑现长效机制、搭建标准流程结构、开设“政策兑现”专窗、推出“免申即享”试点微改革、规范环节时限等举措大幅缩短政策兑现时间，最短只需20个工作日，企业获得感显著增强。不扣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10</w:t>
            </w:r>
          </w:p>
        </w:tc>
      </w:tr>
      <w:tr>
        <w:tblPrEx>
          <w:tblCellMar>
            <w:top w:w="0" w:type="dxa"/>
            <w:left w:w="108" w:type="dxa"/>
            <w:bottom w:w="0" w:type="dxa"/>
            <w:right w:w="108" w:type="dxa"/>
          </w:tblCellMar>
        </w:tblPrEx>
        <w:trPr>
          <w:trHeight w:val="117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质量指标</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园区内企业资本市场全面可持续发展</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考核园区企业发展质量提升情况。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hint="eastAsia" w:ascii="宋体" w:hAnsi="宋体" w:eastAsia="宋体" w:cs="宋体"/>
                <w:sz w:val="18"/>
                <w:szCs w:val="18"/>
              </w:rPr>
              <w:t>①</w:t>
            </w:r>
            <w:r>
              <w:rPr>
                <w:rFonts w:eastAsia="仿宋_GB2312" w:asciiTheme="majorBidi" w:hAnsiTheme="majorBidi" w:cstheme="majorBidi"/>
                <w:sz w:val="18"/>
                <w:szCs w:val="18"/>
              </w:rPr>
              <w:t>年度内园区企业取得证监会上市许可得2分；</w:t>
            </w:r>
            <w:r>
              <w:rPr>
                <w:rFonts w:hint="eastAsia" w:ascii="宋体" w:hAnsi="宋体" w:eastAsia="宋体" w:cs="宋体"/>
                <w:sz w:val="18"/>
                <w:szCs w:val="18"/>
              </w:rPr>
              <w:t>②</w:t>
            </w:r>
            <w:r>
              <w:rPr>
                <w:rFonts w:eastAsia="仿宋_GB2312" w:asciiTheme="majorBidi" w:hAnsiTheme="majorBidi" w:cstheme="majorBidi"/>
                <w:sz w:val="18"/>
                <w:szCs w:val="18"/>
              </w:rPr>
              <w:t>年度内有园区企业成为小省、市小巨人企业得1分；</w:t>
            </w:r>
            <w:r>
              <w:rPr>
                <w:rFonts w:hint="eastAsia" w:ascii="宋体" w:hAnsi="宋体" w:eastAsia="宋体" w:cs="宋体"/>
                <w:sz w:val="18"/>
                <w:szCs w:val="18"/>
              </w:rPr>
              <w:t>③</w:t>
            </w:r>
            <w:r>
              <w:rPr>
                <w:rFonts w:eastAsia="仿宋_GB2312" w:asciiTheme="majorBidi" w:hAnsiTheme="majorBidi" w:cstheme="majorBidi"/>
                <w:sz w:val="18"/>
                <w:szCs w:val="18"/>
              </w:rPr>
              <w:t>年度内园区企业取得市智能制造试点企业得1分；</w:t>
            </w:r>
            <w:r>
              <w:rPr>
                <w:rFonts w:hint="eastAsia" w:ascii="宋体" w:hAnsi="宋体" w:eastAsia="宋体" w:cs="宋体"/>
                <w:sz w:val="18"/>
                <w:szCs w:val="18"/>
              </w:rPr>
              <w:t>④</w:t>
            </w:r>
            <w:r>
              <w:rPr>
                <w:rFonts w:eastAsia="仿宋_GB2312" w:asciiTheme="majorBidi" w:hAnsiTheme="majorBidi" w:cstheme="majorBidi"/>
                <w:sz w:val="18"/>
                <w:szCs w:val="18"/>
              </w:rPr>
              <w:t>取得其他类称号得1分。未取得不得分。</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德荣医疗、恒昌医药正积极筹备上市。新增12家长沙智能制造试点企业，1家省工信小巨人企业，9家市工信小巨人企业，2家省级智能制造系统解决方案服务商。不扣分。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r>
      <w:tr>
        <w:tblPrEx>
          <w:tblCellMar>
            <w:top w:w="0" w:type="dxa"/>
            <w:left w:w="108" w:type="dxa"/>
            <w:bottom w:w="0" w:type="dxa"/>
            <w:right w:w="108" w:type="dxa"/>
          </w:tblCellMar>
        </w:tblPrEx>
        <w:trPr>
          <w:trHeight w:val="1868" w:hRule="atLeast"/>
        </w:trPr>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产出效果（10分）</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社会效益</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园区取得上级</w:t>
            </w:r>
            <w:r>
              <w:rPr>
                <w:rFonts w:hint="eastAsia" w:eastAsia="仿宋_GB2312" w:asciiTheme="majorBidi" w:hAnsiTheme="majorBidi" w:cstheme="majorBidi"/>
                <w:sz w:val="18"/>
                <w:szCs w:val="18"/>
              </w:rPr>
              <w:t>荣誉</w:t>
            </w:r>
            <w:r>
              <w:rPr>
                <w:rFonts w:eastAsia="仿宋_GB2312" w:asciiTheme="majorBidi" w:hAnsiTheme="majorBidi" w:cstheme="majorBidi"/>
                <w:sz w:val="18"/>
                <w:szCs w:val="18"/>
              </w:rPr>
              <w:t>情况</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考核园区整体服务提升情况。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每取得一项荣誉得2分，加满为止。</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ascii="Times New Roman" w:hAnsi="Times New Roman" w:eastAsia="仿宋_GB2312" w:cs="Times New Roman"/>
                <w:sz w:val="18"/>
                <w:szCs w:val="18"/>
              </w:rPr>
            </w:pPr>
            <w:r>
              <w:rPr>
                <w:rFonts w:ascii="Times New Roman" w:hAnsi="Times New Roman" w:eastAsia="仿宋_GB2312" w:cs="Times New Roman"/>
                <w:sz w:val="18"/>
                <w:szCs w:val="18"/>
              </w:rPr>
              <w:t>2021年度园区在全市绩效考核中获省级园区第一名、优秀等次，在全区绩效考核中获评一等。还被评为全省商务工作先进园区、湖南省优秀物流园区、全省商务工作（口岸）先进单位（金霞保税物流中心）以及湖南省环保诚信园区。创新工程规划许可证、施工许可证“双证齐发”模式，经验做法获得长沙市行政审批局肯定，并收录至《2021年长沙市“一件事一次办”“优化营商环境“经验材料汇编》。不扣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r>
      <w:tr>
        <w:tblPrEx>
          <w:tblCellMar>
            <w:top w:w="0" w:type="dxa"/>
            <w:left w:w="108" w:type="dxa"/>
            <w:bottom w:w="0" w:type="dxa"/>
            <w:right w:w="108" w:type="dxa"/>
          </w:tblCellMar>
        </w:tblPrEx>
        <w:trPr>
          <w:trHeight w:val="3218"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社会效益</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园区诚信廉政建设情况</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主要考核作风和纪律建设情况</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每发现1例违法违纪情况该项指标全扣。</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围绕落实全面从严治党主体责任，印发个性化的《纪实手册》，实行对标对表的纪实管理，督促领导班子主动扛起管党治党主体责任。围绕加强“一把手”和对领导班子监督，组织签订《领导干部廉政承诺书》75份；参照巡视巡察工作的方式，制定了《长沙金霞经济开发区巡检工作办法》，由纪工委牵头对园区内设机构和纪检监察工作对象单位创造性地开展巡回监督检查。全年以来园区党政领导班子开展谈话提醒507人次；以园区中层以上负责干部全面谈和重点问题重点谈相结合，纪工委组织谈话66人次。不扣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5</w:t>
            </w:r>
          </w:p>
        </w:tc>
      </w:tr>
      <w:tr>
        <w:tblPrEx>
          <w:tblCellMar>
            <w:top w:w="0" w:type="dxa"/>
            <w:left w:w="108" w:type="dxa"/>
            <w:bottom w:w="0" w:type="dxa"/>
            <w:right w:w="108" w:type="dxa"/>
          </w:tblCellMar>
        </w:tblPrEx>
        <w:trPr>
          <w:trHeight w:val="713" w:hRule="atLeast"/>
        </w:trPr>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满意度（16分）</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客商满意度</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客商对园区投资环境满意度</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8</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用以反映和考核社会公众或服务对象对园区满意程度。</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以问卷形式随机抽取园区企业进行调查访问，得分95分及以上得满分，75分及以下不得分，每下降1分扣0.5分。</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根据第三方对社会公众评估，评分结果88.43分，扣3.3分。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4.7</w:t>
            </w:r>
          </w:p>
        </w:tc>
      </w:tr>
      <w:tr>
        <w:tblPrEx>
          <w:tblCellMar>
            <w:top w:w="0" w:type="dxa"/>
            <w:left w:w="108" w:type="dxa"/>
            <w:bottom w:w="0" w:type="dxa"/>
            <w:right w:w="108" w:type="dxa"/>
          </w:tblCellMar>
        </w:tblPrEx>
        <w:trPr>
          <w:trHeight w:val="713" w:hRule="atLeast"/>
        </w:trPr>
        <w:tc>
          <w:tcPr>
            <w:tcW w:w="1020" w:type="dxa"/>
            <w:vMerge w:val="continue"/>
            <w:tcBorders>
              <w:top w:val="nil"/>
              <w:left w:val="single" w:color="auto" w:sz="8" w:space="0"/>
              <w:bottom w:val="single" w:color="000000" w:sz="8" w:space="0"/>
              <w:right w:val="single" w:color="auto" w:sz="8" w:space="0"/>
            </w:tcBorders>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企业满意度</w:t>
            </w: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企业对园区服务满意度</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8</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用以反映和考核社会公众或服务对象对园区满意程度。</w:t>
            </w: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left"/>
              <w:rPr>
                <w:rFonts w:eastAsia="仿宋_GB2312" w:asciiTheme="majorBidi" w:hAnsiTheme="majorBidi" w:cstheme="majorBidi"/>
                <w:sz w:val="18"/>
                <w:szCs w:val="18"/>
              </w:rPr>
            </w:pPr>
            <w:r>
              <w:rPr>
                <w:rFonts w:eastAsia="仿宋_GB2312" w:asciiTheme="majorBidi" w:hAnsiTheme="majorBidi" w:cstheme="majorBidi"/>
                <w:sz w:val="18"/>
                <w:szCs w:val="18"/>
              </w:rPr>
              <w:t>以问卷形式随机抽取园区企业进行调查访问，得分95分及以上得满分，75分及以下不得分，每下降1分扣0.5分。</w:t>
            </w: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根据第三方对社会公众评估，评分结果88.43分，扣3.3分。</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4.7</w:t>
            </w:r>
          </w:p>
        </w:tc>
      </w:tr>
      <w:tr>
        <w:tblPrEx>
          <w:tblCellMar>
            <w:top w:w="0" w:type="dxa"/>
            <w:left w:w="108" w:type="dxa"/>
            <w:bottom w:w="0" w:type="dxa"/>
            <w:right w:w="108" w:type="dxa"/>
          </w:tblCellMar>
        </w:tblPrEx>
        <w:trPr>
          <w:trHeight w:val="278" w:hRule="atLeast"/>
        </w:trPr>
        <w:tc>
          <w:tcPr>
            <w:tcW w:w="1020" w:type="dxa"/>
            <w:tcBorders>
              <w:top w:val="nil"/>
              <w:left w:val="single" w:color="auto" w:sz="8" w:space="0"/>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p>
        </w:tc>
        <w:tc>
          <w:tcPr>
            <w:tcW w:w="102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r>
              <w:rPr>
                <w:rFonts w:eastAsia="仿宋_GB2312" w:asciiTheme="majorBidi" w:hAnsiTheme="majorBidi" w:cstheme="majorBidi"/>
                <w:sz w:val="18"/>
                <w:szCs w:val="18"/>
              </w:rPr>
              <w:t>合计</w:t>
            </w: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100</w:t>
            </w:r>
          </w:p>
        </w:tc>
        <w:tc>
          <w:tcPr>
            <w:tcW w:w="386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p>
        </w:tc>
        <w:tc>
          <w:tcPr>
            <w:tcW w:w="384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p>
        </w:tc>
        <w:tc>
          <w:tcPr>
            <w:tcW w:w="3240" w:type="dxa"/>
            <w:tcBorders>
              <w:top w:val="nil"/>
              <w:left w:val="nil"/>
              <w:bottom w:val="single" w:color="auto" w:sz="8" w:space="0"/>
              <w:right w:val="single" w:color="auto" w:sz="8" w:space="0"/>
            </w:tcBorders>
            <w:shd w:val="clear" w:color="auto" w:fill="auto"/>
            <w:vAlign w:val="center"/>
          </w:tcPr>
          <w:p>
            <w:pPr>
              <w:spacing w:line="240" w:lineRule="exact"/>
              <w:rPr>
                <w:rFonts w:eastAsia="仿宋_GB2312" w:asciiTheme="majorBidi" w:hAnsiTheme="majorBidi" w:cstheme="majorBidi"/>
                <w:sz w:val="18"/>
                <w:szCs w:val="18"/>
              </w:rPr>
            </w:pPr>
          </w:p>
        </w:tc>
        <w:tc>
          <w:tcPr>
            <w:tcW w:w="460" w:type="dxa"/>
            <w:tcBorders>
              <w:top w:val="nil"/>
              <w:left w:val="nil"/>
              <w:bottom w:val="single" w:color="auto" w:sz="8" w:space="0"/>
              <w:right w:val="single" w:color="auto" w:sz="8" w:space="0"/>
            </w:tcBorders>
            <w:shd w:val="clear" w:color="auto" w:fill="auto"/>
            <w:vAlign w:val="center"/>
          </w:tcPr>
          <w:p>
            <w:pPr>
              <w:spacing w:line="240" w:lineRule="exact"/>
              <w:jc w:val="center"/>
              <w:rPr>
                <w:rFonts w:eastAsia="仿宋_GB2312" w:asciiTheme="majorBidi" w:hAnsiTheme="majorBidi" w:cstheme="majorBidi"/>
                <w:sz w:val="18"/>
                <w:szCs w:val="18"/>
              </w:rPr>
            </w:pPr>
            <w:r>
              <w:rPr>
                <w:rFonts w:eastAsia="仿宋_GB2312" w:asciiTheme="majorBidi" w:hAnsiTheme="majorBidi" w:cstheme="majorBidi"/>
                <w:sz w:val="18"/>
                <w:szCs w:val="18"/>
              </w:rPr>
              <w:t>92.4</w:t>
            </w:r>
          </w:p>
        </w:tc>
      </w:tr>
    </w:tbl>
    <w:p>
      <w:pPr>
        <w:widowControl/>
        <w:jc w:val="left"/>
        <w:rPr>
          <w:rFonts w:ascii="Times New Roman" w:hAnsi="Times New Roman" w:eastAsia="仿宋_GB2312" w:cs="Times New Roman"/>
          <w:b/>
          <w:bCs/>
          <w:sz w:val="32"/>
          <w:szCs w:val="32"/>
        </w:rPr>
        <w:sectPr>
          <w:pgSz w:w="16838" w:h="11906" w:orient="landscape"/>
          <w:pgMar w:top="1797" w:right="1440" w:bottom="1797" w:left="1440" w:header="851" w:footer="992" w:gutter="0"/>
          <w:cols w:space="425" w:num="1"/>
          <w:docGrid w:type="lines" w:linePitch="312" w:charSpace="0"/>
        </w:sectPr>
      </w:pPr>
    </w:p>
    <w:p>
      <w:pPr>
        <w:widowControl/>
        <w:jc w:val="left"/>
        <w:rPr>
          <w:rFonts w:ascii="Times New Roman" w:hAnsi="Times New Roman" w:eastAsia="仿宋_GB2312" w:cs="Times New Roman"/>
          <w:b/>
          <w:bCs/>
          <w:sz w:val="32"/>
          <w:szCs w:val="32"/>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095955"/>
    </w:sdtPr>
    <w:sdtContent>
      <w:p>
        <w:pPr>
          <w:pStyle w:val="7"/>
          <w:jc w:val="center"/>
        </w:pPr>
        <w:r>
          <w:fldChar w:fldCharType="begin"/>
        </w:r>
        <w:r>
          <w:instrText xml:space="preserve">PAGE   \* MERGEFORMAT</w:instrText>
        </w:r>
        <w:r>
          <w:fldChar w:fldCharType="separate"/>
        </w:r>
        <w:r>
          <w:rPr>
            <w:lang w:val="zh-CN"/>
          </w:rPr>
          <w:t>3</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NTYxMWNiM2ZlN2I5MDI0ZTMzZTY4MDgyZTdhNTEifQ=="/>
  </w:docVars>
  <w:rsids>
    <w:rsidRoot w:val="003A77C7"/>
    <w:rsid w:val="000020D3"/>
    <w:rsid w:val="00011700"/>
    <w:rsid w:val="00032569"/>
    <w:rsid w:val="00067100"/>
    <w:rsid w:val="00087812"/>
    <w:rsid w:val="000915EB"/>
    <w:rsid w:val="00094631"/>
    <w:rsid w:val="000A2DF2"/>
    <w:rsid w:val="000A3021"/>
    <w:rsid w:val="000B454A"/>
    <w:rsid w:val="000C2837"/>
    <w:rsid w:val="000C3EF9"/>
    <w:rsid w:val="000C4632"/>
    <w:rsid w:val="000C6B48"/>
    <w:rsid w:val="000D5334"/>
    <w:rsid w:val="00107CC5"/>
    <w:rsid w:val="001115FB"/>
    <w:rsid w:val="001155F7"/>
    <w:rsid w:val="00125B8F"/>
    <w:rsid w:val="00126643"/>
    <w:rsid w:val="0014102C"/>
    <w:rsid w:val="0014204B"/>
    <w:rsid w:val="00142B21"/>
    <w:rsid w:val="00147781"/>
    <w:rsid w:val="001566BD"/>
    <w:rsid w:val="00160FAF"/>
    <w:rsid w:val="001724C0"/>
    <w:rsid w:val="00173AD9"/>
    <w:rsid w:val="00177562"/>
    <w:rsid w:val="00195B92"/>
    <w:rsid w:val="001A1311"/>
    <w:rsid w:val="001B31F0"/>
    <w:rsid w:val="001B4F8C"/>
    <w:rsid w:val="001C1625"/>
    <w:rsid w:val="001C1C16"/>
    <w:rsid w:val="001C6C12"/>
    <w:rsid w:val="001D0DEA"/>
    <w:rsid w:val="001F3EC0"/>
    <w:rsid w:val="00203EBD"/>
    <w:rsid w:val="002052FF"/>
    <w:rsid w:val="00221620"/>
    <w:rsid w:val="00224488"/>
    <w:rsid w:val="002301C9"/>
    <w:rsid w:val="0024281C"/>
    <w:rsid w:val="00255F83"/>
    <w:rsid w:val="002721D8"/>
    <w:rsid w:val="00281748"/>
    <w:rsid w:val="00281948"/>
    <w:rsid w:val="0028245C"/>
    <w:rsid w:val="00286499"/>
    <w:rsid w:val="002909E8"/>
    <w:rsid w:val="002A240E"/>
    <w:rsid w:val="002B4F5C"/>
    <w:rsid w:val="002C36DB"/>
    <w:rsid w:val="002D4616"/>
    <w:rsid w:val="002F577B"/>
    <w:rsid w:val="00310C44"/>
    <w:rsid w:val="00313552"/>
    <w:rsid w:val="003230EA"/>
    <w:rsid w:val="00332066"/>
    <w:rsid w:val="0033423E"/>
    <w:rsid w:val="0035027B"/>
    <w:rsid w:val="00351C1F"/>
    <w:rsid w:val="003655DB"/>
    <w:rsid w:val="00367A01"/>
    <w:rsid w:val="003718CA"/>
    <w:rsid w:val="00373C72"/>
    <w:rsid w:val="00383E0A"/>
    <w:rsid w:val="00386B37"/>
    <w:rsid w:val="003962F3"/>
    <w:rsid w:val="003A77C7"/>
    <w:rsid w:val="003B361C"/>
    <w:rsid w:val="003B79D9"/>
    <w:rsid w:val="003C0DD4"/>
    <w:rsid w:val="003D1EB8"/>
    <w:rsid w:val="003E1D68"/>
    <w:rsid w:val="003F2B9A"/>
    <w:rsid w:val="003F31AA"/>
    <w:rsid w:val="003F6CF6"/>
    <w:rsid w:val="00401371"/>
    <w:rsid w:val="00434E41"/>
    <w:rsid w:val="004375A6"/>
    <w:rsid w:val="00442F0E"/>
    <w:rsid w:val="0044363A"/>
    <w:rsid w:val="00450A0A"/>
    <w:rsid w:val="00450C58"/>
    <w:rsid w:val="00464A77"/>
    <w:rsid w:val="004842A9"/>
    <w:rsid w:val="004903C3"/>
    <w:rsid w:val="0049387D"/>
    <w:rsid w:val="004A45E0"/>
    <w:rsid w:val="004B4F17"/>
    <w:rsid w:val="004C5573"/>
    <w:rsid w:val="004D1212"/>
    <w:rsid w:val="004D3F6B"/>
    <w:rsid w:val="004E4994"/>
    <w:rsid w:val="004E599B"/>
    <w:rsid w:val="004F744C"/>
    <w:rsid w:val="00503D1A"/>
    <w:rsid w:val="00524759"/>
    <w:rsid w:val="00525009"/>
    <w:rsid w:val="00533422"/>
    <w:rsid w:val="00555876"/>
    <w:rsid w:val="0057718B"/>
    <w:rsid w:val="005921BF"/>
    <w:rsid w:val="005B76D7"/>
    <w:rsid w:val="005D2738"/>
    <w:rsid w:val="005D5B14"/>
    <w:rsid w:val="005D5B94"/>
    <w:rsid w:val="005E7D73"/>
    <w:rsid w:val="00601FCC"/>
    <w:rsid w:val="00607D13"/>
    <w:rsid w:val="00623FE5"/>
    <w:rsid w:val="0067282C"/>
    <w:rsid w:val="0068053D"/>
    <w:rsid w:val="006828C1"/>
    <w:rsid w:val="006A614C"/>
    <w:rsid w:val="006B0865"/>
    <w:rsid w:val="006C151A"/>
    <w:rsid w:val="006C3E3E"/>
    <w:rsid w:val="006D0F8D"/>
    <w:rsid w:val="006D4335"/>
    <w:rsid w:val="006D7779"/>
    <w:rsid w:val="006E16B1"/>
    <w:rsid w:val="006E18C3"/>
    <w:rsid w:val="00704360"/>
    <w:rsid w:val="007059A4"/>
    <w:rsid w:val="00706402"/>
    <w:rsid w:val="007125E1"/>
    <w:rsid w:val="007201FD"/>
    <w:rsid w:val="007264F4"/>
    <w:rsid w:val="007313BF"/>
    <w:rsid w:val="0074341D"/>
    <w:rsid w:val="007628E1"/>
    <w:rsid w:val="007912E8"/>
    <w:rsid w:val="00791F4C"/>
    <w:rsid w:val="00795E28"/>
    <w:rsid w:val="007973A2"/>
    <w:rsid w:val="007D08D9"/>
    <w:rsid w:val="007E4541"/>
    <w:rsid w:val="007E661C"/>
    <w:rsid w:val="007F76C3"/>
    <w:rsid w:val="0080076B"/>
    <w:rsid w:val="00802C67"/>
    <w:rsid w:val="00817F4B"/>
    <w:rsid w:val="008212E3"/>
    <w:rsid w:val="008225B2"/>
    <w:rsid w:val="00827AC1"/>
    <w:rsid w:val="00830BB8"/>
    <w:rsid w:val="00836A9C"/>
    <w:rsid w:val="00836FE5"/>
    <w:rsid w:val="00840151"/>
    <w:rsid w:val="00842325"/>
    <w:rsid w:val="008512DB"/>
    <w:rsid w:val="0085230C"/>
    <w:rsid w:val="008635DA"/>
    <w:rsid w:val="00874AB5"/>
    <w:rsid w:val="0088758D"/>
    <w:rsid w:val="008A6258"/>
    <w:rsid w:val="008B2A60"/>
    <w:rsid w:val="008C3B87"/>
    <w:rsid w:val="008D2CAA"/>
    <w:rsid w:val="008D2D67"/>
    <w:rsid w:val="008E1F9B"/>
    <w:rsid w:val="008E21DE"/>
    <w:rsid w:val="008F6643"/>
    <w:rsid w:val="008F7ECE"/>
    <w:rsid w:val="009005A7"/>
    <w:rsid w:val="00900938"/>
    <w:rsid w:val="00906874"/>
    <w:rsid w:val="0092014C"/>
    <w:rsid w:val="009224EC"/>
    <w:rsid w:val="009372D0"/>
    <w:rsid w:val="00944C04"/>
    <w:rsid w:val="00954181"/>
    <w:rsid w:val="0099617B"/>
    <w:rsid w:val="009B09B5"/>
    <w:rsid w:val="009B0D38"/>
    <w:rsid w:val="009B0E92"/>
    <w:rsid w:val="009C5C2A"/>
    <w:rsid w:val="009E24D9"/>
    <w:rsid w:val="009E6460"/>
    <w:rsid w:val="009E7170"/>
    <w:rsid w:val="009F6F53"/>
    <w:rsid w:val="00A04954"/>
    <w:rsid w:val="00A06E58"/>
    <w:rsid w:val="00A46D49"/>
    <w:rsid w:val="00A47B3E"/>
    <w:rsid w:val="00A47C77"/>
    <w:rsid w:val="00A56688"/>
    <w:rsid w:val="00A63416"/>
    <w:rsid w:val="00A705CE"/>
    <w:rsid w:val="00A90AF8"/>
    <w:rsid w:val="00AA6FA8"/>
    <w:rsid w:val="00AB1085"/>
    <w:rsid w:val="00AB44F5"/>
    <w:rsid w:val="00AC3E41"/>
    <w:rsid w:val="00AD3E1E"/>
    <w:rsid w:val="00AD412F"/>
    <w:rsid w:val="00AF7FA0"/>
    <w:rsid w:val="00B11E92"/>
    <w:rsid w:val="00B14156"/>
    <w:rsid w:val="00B365DB"/>
    <w:rsid w:val="00B849C8"/>
    <w:rsid w:val="00B94D28"/>
    <w:rsid w:val="00B95955"/>
    <w:rsid w:val="00B97242"/>
    <w:rsid w:val="00BA0CD3"/>
    <w:rsid w:val="00BA1C50"/>
    <w:rsid w:val="00BB5797"/>
    <w:rsid w:val="00BE188E"/>
    <w:rsid w:val="00BE781E"/>
    <w:rsid w:val="00BF7A15"/>
    <w:rsid w:val="00C016CD"/>
    <w:rsid w:val="00C10FA1"/>
    <w:rsid w:val="00C3199E"/>
    <w:rsid w:val="00C44A19"/>
    <w:rsid w:val="00C72676"/>
    <w:rsid w:val="00C8474A"/>
    <w:rsid w:val="00C868D5"/>
    <w:rsid w:val="00CA65F9"/>
    <w:rsid w:val="00CA6D32"/>
    <w:rsid w:val="00CB5D1F"/>
    <w:rsid w:val="00CB73E0"/>
    <w:rsid w:val="00CF1351"/>
    <w:rsid w:val="00CF17A4"/>
    <w:rsid w:val="00CF2158"/>
    <w:rsid w:val="00D01A11"/>
    <w:rsid w:val="00D07253"/>
    <w:rsid w:val="00D07CE4"/>
    <w:rsid w:val="00D2032A"/>
    <w:rsid w:val="00D275D2"/>
    <w:rsid w:val="00D30E34"/>
    <w:rsid w:val="00D32AC0"/>
    <w:rsid w:val="00D33DB2"/>
    <w:rsid w:val="00D82782"/>
    <w:rsid w:val="00D9360B"/>
    <w:rsid w:val="00DA080C"/>
    <w:rsid w:val="00DB1108"/>
    <w:rsid w:val="00DC2067"/>
    <w:rsid w:val="00DD67BC"/>
    <w:rsid w:val="00DE0F7B"/>
    <w:rsid w:val="00DE2AEF"/>
    <w:rsid w:val="00DE6B45"/>
    <w:rsid w:val="00DF0C52"/>
    <w:rsid w:val="00DF16D5"/>
    <w:rsid w:val="00DF2271"/>
    <w:rsid w:val="00E033FA"/>
    <w:rsid w:val="00E1129C"/>
    <w:rsid w:val="00E20305"/>
    <w:rsid w:val="00E20963"/>
    <w:rsid w:val="00E856CB"/>
    <w:rsid w:val="00E94D75"/>
    <w:rsid w:val="00EA1A89"/>
    <w:rsid w:val="00EA3C4D"/>
    <w:rsid w:val="00EA47F8"/>
    <w:rsid w:val="00EB3928"/>
    <w:rsid w:val="00ED2C42"/>
    <w:rsid w:val="00EF2E34"/>
    <w:rsid w:val="00EF5496"/>
    <w:rsid w:val="00F23661"/>
    <w:rsid w:val="00F418E6"/>
    <w:rsid w:val="00F46297"/>
    <w:rsid w:val="00F55662"/>
    <w:rsid w:val="00F56D2D"/>
    <w:rsid w:val="00F7659C"/>
    <w:rsid w:val="00F80316"/>
    <w:rsid w:val="00F810B7"/>
    <w:rsid w:val="00F81198"/>
    <w:rsid w:val="00F961C1"/>
    <w:rsid w:val="00FA1123"/>
    <w:rsid w:val="00FB22FA"/>
    <w:rsid w:val="00FE15A1"/>
    <w:rsid w:val="00FE4B2E"/>
    <w:rsid w:val="00FF4740"/>
    <w:rsid w:val="00FF67EE"/>
    <w:rsid w:val="00FF6EBD"/>
    <w:rsid w:val="14BA560D"/>
    <w:rsid w:val="166B13D0"/>
    <w:rsid w:val="1B3648D7"/>
    <w:rsid w:val="2F8D62AF"/>
    <w:rsid w:val="350B78CD"/>
    <w:rsid w:val="3A044DC2"/>
    <w:rsid w:val="3EBF4825"/>
    <w:rsid w:val="53C31812"/>
    <w:rsid w:val="5A6273DE"/>
    <w:rsid w:val="62475621"/>
    <w:rsid w:val="6A9104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jc w:val="left"/>
    </w:pPr>
  </w:style>
  <w:style w:type="paragraph" w:styleId="5">
    <w:name w:val="Date"/>
    <w:basedOn w:val="1"/>
    <w:next w:val="1"/>
    <w:link w:val="22"/>
    <w:semiHidden/>
    <w:unhideWhenUsed/>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0"/>
    <w:qFormat/>
    <w:uiPriority w:val="99"/>
    <w:pPr>
      <w:snapToGrid w:val="0"/>
      <w:jc w:val="left"/>
    </w:pPr>
    <w:rPr>
      <w:sz w:val="18"/>
      <w:szCs w:val="18"/>
    </w:rPr>
  </w:style>
  <w:style w:type="paragraph" w:styleId="10">
    <w:name w:val="annotation subject"/>
    <w:basedOn w:val="4"/>
    <w:next w:val="4"/>
    <w:link w:val="24"/>
    <w:semiHidden/>
    <w:unhideWhenUsed/>
    <w:qFormat/>
    <w:uiPriority w:val="99"/>
    <w:rPr>
      <w:b/>
      <w:bCs/>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unhideWhenUsed/>
    <w:qFormat/>
    <w:uiPriority w:val="99"/>
    <w:rPr>
      <w:sz w:val="21"/>
      <w:szCs w:val="21"/>
    </w:rPr>
  </w:style>
  <w:style w:type="character" w:styleId="15">
    <w:name w:val="footnote reference"/>
    <w:basedOn w:val="13"/>
    <w:qFormat/>
    <w:uiPriority w:val="99"/>
    <w:rPr>
      <w:rFonts w:cs="Times New Roman"/>
      <w:vertAlign w:val="superscript"/>
    </w:rPr>
  </w:style>
  <w:style w:type="character" w:customStyle="1" w:styleId="16">
    <w:name w:val="标题 1 Char"/>
    <w:basedOn w:val="13"/>
    <w:link w:val="2"/>
    <w:qFormat/>
    <w:uiPriority w:val="9"/>
    <w:rPr>
      <w:b/>
      <w:bCs/>
      <w:kern w:val="44"/>
      <w:sz w:val="44"/>
      <w:szCs w:val="44"/>
    </w:rPr>
  </w:style>
  <w:style w:type="character" w:customStyle="1" w:styleId="17">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18">
    <w:name w:val="页眉 Char"/>
    <w:basedOn w:val="13"/>
    <w:link w:val="8"/>
    <w:qFormat/>
    <w:uiPriority w:val="99"/>
    <w:rPr>
      <w:sz w:val="18"/>
      <w:szCs w:val="18"/>
    </w:rPr>
  </w:style>
  <w:style w:type="character" w:customStyle="1" w:styleId="19">
    <w:name w:val="页脚 Char"/>
    <w:basedOn w:val="13"/>
    <w:link w:val="7"/>
    <w:qFormat/>
    <w:uiPriority w:val="99"/>
    <w:rPr>
      <w:sz w:val="18"/>
      <w:szCs w:val="18"/>
    </w:rPr>
  </w:style>
  <w:style w:type="character" w:customStyle="1" w:styleId="20">
    <w:name w:val="脚注文本 Char"/>
    <w:basedOn w:val="13"/>
    <w:link w:val="9"/>
    <w:uiPriority w:val="99"/>
    <w:rPr>
      <w:sz w:val="18"/>
      <w:szCs w:val="18"/>
    </w:rPr>
  </w:style>
  <w:style w:type="character" w:customStyle="1" w:styleId="21">
    <w:name w:val="批注框文本 Char"/>
    <w:basedOn w:val="13"/>
    <w:link w:val="6"/>
    <w:semiHidden/>
    <w:uiPriority w:val="99"/>
    <w:rPr>
      <w:sz w:val="18"/>
      <w:szCs w:val="18"/>
    </w:rPr>
  </w:style>
  <w:style w:type="character" w:customStyle="1" w:styleId="22">
    <w:name w:val="日期 Char"/>
    <w:basedOn w:val="13"/>
    <w:link w:val="5"/>
    <w:semiHidden/>
    <w:qFormat/>
    <w:uiPriority w:val="99"/>
  </w:style>
  <w:style w:type="character" w:customStyle="1" w:styleId="23">
    <w:name w:val="批注文字 Char"/>
    <w:basedOn w:val="13"/>
    <w:link w:val="4"/>
    <w:semiHidden/>
    <w:qFormat/>
    <w:uiPriority w:val="99"/>
  </w:style>
  <w:style w:type="character" w:customStyle="1" w:styleId="24">
    <w:name w:val="批注主题 Char"/>
    <w:basedOn w:val="23"/>
    <w:link w:val="10"/>
    <w:semiHidden/>
    <w:qFormat/>
    <w:uiPriority w:val="99"/>
    <w:rPr>
      <w:b/>
      <w:bCs/>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9367</Words>
  <Characters>9989</Characters>
  <Lines>76</Lines>
  <Paragraphs>21</Paragraphs>
  <TotalTime>1688</TotalTime>
  <ScaleCrop>false</ScaleCrop>
  <LinksUpToDate>false</LinksUpToDate>
  <CharactersWithSpaces>9992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2022-06-27T03:37:00Z</dcterms:created>
  <dc:creator>tanmian</dc:creator>
  <cp:lastModifiedBy>Administrator</cp:lastModifiedBy>
  <cp:lastPrinted>2022-12-06T02:48:00Z</cp:lastPrinted>
  <dcterms:modified xsi:type="dcterms:W3CDTF">2022-12-28T03:19:48Z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5175253612414EC5A23D7C7BD51AE079</vt:lpwstr>
  </property>
</Properties>
</file>