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B7" w:rsidRDefault="005C06FD">
      <w:pPr>
        <w:widowControl/>
        <w:spacing w:line="600" w:lineRule="exact"/>
        <w:jc w:val="center"/>
        <w:rPr>
          <w:rFonts w:eastAsia="楷体_GB2312"/>
          <w:bCs/>
          <w:kern w:val="0"/>
          <w:sz w:val="48"/>
          <w:szCs w:val="48"/>
        </w:rPr>
      </w:pPr>
      <w:r>
        <w:rPr>
          <w:rFonts w:ascii="仿宋" w:eastAsia="仿宋" w:hAnsi="仿宋" w:cs="仿宋" w:hint="eastAsia"/>
          <w:b/>
          <w:bCs/>
          <w:kern w:val="0"/>
          <w:sz w:val="48"/>
          <w:szCs w:val="48"/>
        </w:rPr>
        <w:t>2021年长沙市金霞经济开发区管理委员会部门预算</w:t>
      </w:r>
    </w:p>
    <w:p w:rsidR="00A90DB7" w:rsidRDefault="00A90DB7">
      <w:pPr>
        <w:widowControl/>
        <w:spacing w:line="600" w:lineRule="exact"/>
        <w:jc w:val="center"/>
        <w:rPr>
          <w:rFonts w:eastAsia="黑体"/>
          <w:bCs/>
          <w:kern w:val="0"/>
          <w:sz w:val="48"/>
          <w:szCs w:val="48"/>
        </w:rPr>
      </w:pPr>
    </w:p>
    <w:p w:rsidR="00A90DB7" w:rsidRDefault="005C06FD">
      <w:pPr>
        <w:widowControl/>
        <w:spacing w:line="600" w:lineRule="exact"/>
        <w:jc w:val="center"/>
        <w:rPr>
          <w:rFonts w:eastAsia="黑体"/>
          <w:bCs/>
          <w:kern w:val="0"/>
          <w:sz w:val="32"/>
          <w:szCs w:val="32"/>
        </w:rPr>
      </w:pPr>
      <w:r>
        <w:rPr>
          <w:rFonts w:eastAsia="黑体"/>
          <w:bCs/>
          <w:kern w:val="0"/>
          <w:sz w:val="32"/>
          <w:szCs w:val="32"/>
        </w:rPr>
        <w:t>目</w:t>
      </w:r>
      <w:r>
        <w:rPr>
          <w:rFonts w:eastAsia="黑体"/>
          <w:bCs/>
          <w:kern w:val="0"/>
          <w:sz w:val="32"/>
          <w:szCs w:val="32"/>
        </w:rPr>
        <w:t xml:space="preserve"> </w:t>
      </w:r>
      <w:r>
        <w:rPr>
          <w:rFonts w:eastAsia="黑体"/>
          <w:bCs/>
          <w:kern w:val="0"/>
          <w:sz w:val="32"/>
          <w:szCs w:val="32"/>
        </w:rPr>
        <w:t>录</w:t>
      </w:r>
    </w:p>
    <w:p w:rsidR="00A90DB7" w:rsidRDefault="005C06FD">
      <w:pPr>
        <w:widowControl/>
        <w:numPr>
          <w:ilvl w:val="0"/>
          <w:numId w:val="1"/>
        </w:numPr>
        <w:spacing w:line="60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2021年部门预算说明</w:t>
      </w:r>
    </w:p>
    <w:p w:rsidR="00A90DB7" w:rsidRDefault="005C06FD">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一、部门基本概况</w:t>
      </w:r>
    </w:p>
    <w:p w:rsidR="00A90DB7" w:rsidRDefault="005C06FD">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二、部门预算单位构成</w:t>
      </w:r>
    </w:p>
    <w:p w:rsidR="00A90DB7" w:rsidRDefault="005C06FD">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三、部门收支总体情况</w:t>
      </w:r>
    </w:p>
    <w:p w:rsidR="00A90DB7" w:rsidRDefault="005C06FD">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四、一般公共预算拨款支出</w:t>
      </w:r>
    </w:p>
    <w:p w:rsidR="00A90DB7" w:rsidRDefault="005C06FD">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五、政府性基金预算支出</w:t>
      </w:r>
    </w:p>
    <w:p w:rsidR="00A90DB7" w:rsidRDefault="005C06FD">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六、其他重要事项的情况说明</w:t>
      </w:r>
    </w:p>
    <w:p w:rsidR="00A90DB7" w:rsidRDefault="005C06FD">
      <w:pPr>
        <w:pStyle w:val="a5"/>
        <w:widowControl/>
        <w:shd w:val="clear" w:color="auto" w:fill="FFFFFF"/>
        <w:spacing w:beforeAutospacing="0" w:afterAutospacing="0" w:line="600" w:lineRule="exact"/>
        <w:ind w:firstLineChars="200" w:firstLine="640"/>
        <w:rPr>
          <w:rFonts w:ascii="仿宋" w:eastAsia="仿宋" w:hAnsi="仿宋" w:cs="仿宋"/>
          <w:b/>
          <w:bCs/>
          <w:sz w:val="32"/>
          <w:szCs w:val="32"/>
        </w:rPr>
      </w:pPr>
      <w:r>
        <w:rPr>
          <w:rFonts w:ascii="仿宋" w:eastAsia="仿宋" w:hAnsi="仿宋" w:cs="仿宋" w:hint="eastAsia"/>
          <w:sz w:val="32"/>
          <w:szCs w:val="32"/>
          <w:shd w:val="clear" w:color="auto" w:fill="FFFFFF"/>
        </w:rPr>
        <w:t>七、名词解释</w:t>
      </w:r>
    </w:p>
    <w:p w:rsidR="00A90DB7" w:rsidRDefault="005C06FD">
      <w:pPr>
        <w:widowControl/>
        <w:spacing w:line="600" w:lineRule="exact"/>
        <w:ind w:firstLineChars="200" w:firstLine="643"/>
        <w:rPr>
          <w:rFonts w:eastAsia="仿宋_GB2312"/>
          <w:b/>
          <w:bCs/>
          <w:kern w:val="0"/>
          <w:sz w:val="32"/>
          <w:szCs w:val="32"/>
        </w:rPr>
      </w:pPr>
      <w:r>
        <w:rPr>
          <w:rFonts w:ascii="黑体" w:eastAsia="黑体" w:hAnsi="黑体" w:cs="黑体" w:hint="eastAsia"/>
          <w:b/>
          <w:bCs/>
          <w:kern w:val="0"/>
          <w:sz w:val="32"/>
          <w:szCs w:val="32"/>
        </w:rPr>
        <w:t>第二部分 2021年部门预算表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1、部门收支总表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2、部门收入总表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3、部门支出总表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4、财政拨款收支总表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5、一般公共预算支出表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6、一般公共预算基本支出表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7、一般公共预算“三公”经费支出表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8、政府性基金预算支出表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9、国有资本经营预算支出表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10、项目支出绩效目标表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11、整体支出绩效目标表</w:t>
      </w:r>
    </w:p>
    <w:p w:rsidR="00A90DB7" w:rsidRDefault="005C06FD">
      <w:pPr>
        <w:widowControl/>
        <w:spacing w:line="600" w:lineRule="exact"/>
        <w:ind w:firstLineChars="200" w:firstLine="640"/>
        <w:rPr>
          <w:rFonts w:eastAsia="仿宋_GB2312"/>
          <w:bCs/>
          <w:kern w:val="0"/>
          <w:sz w:val="32"/>
          <w:szCs w:val="32"/>
        </w:rPr>
      </w:pPr>
      <w:r>
        <w:rPr>
          <w:rFonts w:ascii="仿宋" w:eastAsia="仿宋" w:hAnsi="仿宋" w:cs="仿宋" w:hint="eastAsia"/>
          <w:bCs/>
          <w:kern w:val="0"/>
          <w:sz w:val="32"/>
          <w:szCs w:val="32"/>
        </w:rPr>
        <w:t>注：以上部门预算报表中，空表表示本部门无相关收支情况。</w:t>
      </w:r>
    </w:p>
    <w:p w:rsidR="00A90DB7" w:rsidRDefault="00A90DB7">
      <w:pPr>
        <w:widowControl/>
        <w:spacing w:line="600" w:lineRule="exact"/>
        <w:rPr>
          <w:rFonts w:eastAsia="仿宋_GB2312"/>
          <w:bCs/>
          <w:kern w:val="0"/>
          <w:sz w:val="32"/>
          <w:szCs w:val="32"/>
        </w:rPr>
      </w:pPr>
    </w:p>
    <w:p w:rsidR="00A90DB7" w:rsidRDefault="005C06FD">
      <w:pPr>
        <w:widowControl/>
        <w:spacing w:line="600" w:lineRule="exact"/>
        <w:jc w:val="center"/>
        <w:rPr>
          <w:rFonts w:eastAsia="方正小标宋_GBK"/>
          <w:bCs/>
          <w:kern w:val="0"/>
          <w:sz w:val="36"/>
          <w:szCs w:val="36"/>
        </w:rPr>
      </w:pPr>
      <w:r>
        <w:rPr>
          <w:rFonts w:ascii="黑体" w:eastAsia="黑体" w:hAnsi="黑体" w:cs="黑体" w:hint="eastAsia"/>
          <w:b/>
          <w:kern w:val="0"/>
          <w:sz w:val="44"/>
          <w:szCs w:val="44"/>
        </w:rPr>
        <w:t>第一部分 2021年部门预算说明</w:t>
      </w:r>
    </w:p>
    <w:p w:rsidR="00A90DB7" w:rsidRDefault="00A90DB7">
      <w:pPr>
        <w:widowControl/>
        <w:spacing w:line="600" w:lineRule="exact"/>
        <w:jc w:val="left"/>
        <w:rPr>
          <w:rFonts w:eastAsia="仿宋_GB2312"/>
          <w:b/>
          <w:bCs/>
          <w:kern w:val="0"/>
          <w:sz w:val="32"/>
          <w:szCs w:val="32"/>
        </w:rPr>
      </w:pPr>
    </w:p>
    <w:p w:rsidR="00A90DB7" w:rsidRDefault="005C06FD">
      <w:pPr>
        <w:widowControl/>
        <w:spacing w:line="600" w:lineRule="exact"/>
        <w:ind w:firstLineChars="196" w:firstLine="627"/>
        <w:jc w:val="left"/>
        <w:rPr>
          <w:rFonts w:eastAsia="黑体"/>
          <w:bCs/>
          <w:kern w:val="0"/>
          <w:sz w:val="32"/>
          <w:szCs w:val="32"/>
        </w:rPr>
      </w:pPr>
      <w:r>
        <w:rPr>
          <w:rFonts w:eastAsia="黑体"/>
          <w:bCs/>
          <w:kern w:val="0"/>
          <w:sz w:val="32"/>
          <w:szCs w:val="32"/>
        </w:rPr>
        <w:t>一、部门基本概况</w:t>
      </w:r>
    </w:p>
    <w:p w:rsidR="00A90DB7" w:rsidRDefault="005C06FD">
      <w:pPr>
        <w:widowControl/>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（一）职能职责。</w:t>
      </w:r>
      <w:r>
        <w:rPr>
          <w:rFonts w:ascii="仿宋" w:eastAsia="仿宋" w:hAnsi="仿宋" w:cs="仿宋"/>
          <w:sz w:val="32"/>
          <w:szCs w:val="32"/>
        </w:rPr>
        <w:t>1、贯彻执行党和国家有关发展经济开发区的方针、政策和法律、法规、规章；落实省、市、区关于金霞经开区的决策和部署；研究制定和组织实施金霞经开区的各项管理制度和改革措施；组织</w:t>
      </w:r>
      <w:proofErr w:type="gramStart"/>
      <w:r>
        <w:rPr>
          <w:rFonts w:ascii="仿宋" w:eastAsia="仿宋" w:hAnsi="仿宋" w:cs="仿宋"/>
          <w:sz w:val="32"/>
          <w:szCs w:val="32"/>
        </w:rPr>
        <w:t>编制金</w:t>
      </w:r>
      <w:proofErr w:type="gramEnd"/>
      <w:r>
        <w:rPr>
          <w:rFonts w:ascii="仿宋" w:eastAsia="仿宋" w:hAnsi="仿宋" w:cs="仿宋"/>
          <w:sz w:val="32"/>
          <w:szCs w:val="32"/>
        </w:rPr>
        <w:t>霞经开区的中长期发展规划，制定年度工作计划并组织实施。</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2、按照长沙市城市总体规划和土地利用总体规划的要求，负责金霞经开区的规划、建设和土地开发相关工作，按权限</w:t>
      </w:r>
      <w:proofErr w:type="gramStart"/>
      <w:r>
        <w:rPr>
          <w:rFonts w:ascii="仿宋" w:eastAsia="仿宋" w:hAnsi="仿宋" w:cs="仿宋"/>
          <w:sz w:val="32"/>
          <w:szCs w:val="32"/>
        </w:rPr>
        <w:t>编制金</w:t>
      </w:r>
      <w:proofErr w:type="gramEnd"/>
      <w:r>
        <w:rPr>
          <w:rFonts w:ascii="仿宋" w:eastAsia="仿宋" w:hAnsi="仿宋" w:cs="仿宋"/>
          <w:sz w:val="32"/>
          <w:szCs w:val="32"/>
        </w:rPr>
        <w:t>霞经开区建设规划及重大专项规划；统筹区内项目建设工作，组织授权范围内基建项目的审批、审核。</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3、负责金霞经开区的招商引资工作；负责研究制定产业发展政策并组织实施，统一产业规划布局，组织和协调重大项目的招商引资活动。</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4、负责金霞经开区内企业的指导、管理、服务和监督，按权限对区内企业和项目有关事项进行审核、审批、确认、备案管理，负责高新技术项目（企业）的申报，负责入园项</w:t>
      </w:r>
      <w:r>
        <w:rPr>
          <w:rFonts w:ascii="仿宋" w:eastAsia="仿宋" w:hAnsi="仿宋" w:cs="仿宋"/>
          <w:sz w:val="32"/>
          <w:szCs w:val="32"/>
        </w:rPr>
        <w:lastRenderedPageBreak/>
        <w:t>目建设的全程服务；协调区内各企业、驻区机构与周边地区、单位的关系。</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5、负责金霞经开区党群、组织、纪检监察、综合、信息、审计、统计、干部人事、机构编制、社会保障、财政收支及国有资产管理等工作。</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6、按规定和权限负责金霞经开区安全生产、环境和资源保护，协调区内社会事务管理工作。</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7、负责金霞经开区有关涉外事务，负责授权范围内合资企业的审核、审批；指导、组织、协调对外经济技术交流与合作。</w:t>
      </w:r>
    </w:p>
    <w:p w:rsidR="00A90DB7" w:rsidRDefault="005C06FD">
      <w:pPr>
        <w:widowControl/>
        <w:spacing w:line="600" w:lineRule="exact"/>
        <w:ind w:firstLineChars="200" w:firstLine="640"/>
        <w:rPr>
          <w:rFonts w:ascii="仿宋" w:eastAsia="仿宋" w:hAnsi="仿宋" w:cs="仿宋"/>
          <w:sz w:val="32"/>
          <w:szCs w:val="32"/>
        </w:rPr>
      </w:pPr>
      <w:r>
        <w:rPr>
          <w:rFonts w:ascii="仿宋" w:eastAsia="仿宋" w:hAnsi="仿宋" w:cs="仿宋"/>
          <w:sz w:val="32"/>
          <w:szCs w:val="32"/>
        </w:rPr>
        <w:t>8、承办中共长沙市开福区委、长沙市开福区人民政府交办的其他事项。</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（二）机构设置。</w:t>
      </w:r>
      <w:r>
        <w:rPr>
          <w:rFonts w:ascii="仿宋" w:eastAsia="仿宋" w:hAnsi="仿宋" w:cs="仿宋"/>
          <w:kern w:val="2"/>
          <w:sz w:val="32"/>
          <w:szCs w:val="32"/>
        </w:rPr>
        <w:t>长沙金霞经济开发区是全额拨款的</w:t>
      </w:r>
      <w:proofErr w:type="gramStart"/>
      <w:r>
        <w:rPr>
          <w:rFonts w:ascii="仿宋" w:eastAsia="仿宋" w:hAnsi="仿宋" w:cs="仿宋"/>
          <w:kern w:val="2"/>
          <w:sz w:val="32"/>
          <w:szCs w:val="32"/>
        </w:rPr>
        <w:t>参公管理</w:t>
      </w:r>
      <w:proofErr w:type="gramEnd"/>
      <w:r>
        <w:rPr>
          <w:rFonts w:ascii="仿宋" w:eastAsia="仿宋" w:hAnsi="仿宋" w:cs="仿宋"/>
          <w:kern w:val="2"/>
          <w:sz w:val="32"/>
          <w:szCs w:val="32"/>
        </w:rPr>
        <w:t>事业单位。长沙金霞经济开发区党工委、管委会分别为中共开福区委、开福区人民政府的派出机构，合署办公，为正处级单位。</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kern w:val="2"/>
          <w:sz w:val="32"/>
          <w:szCs w:val="32"/>
        </w:rPr>
        <w:t>单位独立编制机构数1个，管委会设5个内设机构，办公室，招商合作局，产业发展局，规划建设局，社会事务局；派出机构1个，长沙金霞经济开发区财政分局，为长沙市开福区财政局的派出机构。人员情况：本单位2021年末园区编制数53人（含青竹湖管委会编制数18人），在职人数36人（含青竹湖管委会8人）；编外长期聘用人员99人；离退休人数4人，其中离休人员0人，退休人员4人。</w:t>
      </w:r>
    </w:p>
    <w:p w:rsidR="00A90DB7" w:rsidRDefault="005C06FD">
      <w:pPr>
        <w:widowControl/>
        <w:spacing w:line="600" w:lineRule="exact"/>
        <w:ind w:firstLineChars="196" w:firstLine="627"/>
        <w:jc w:val="left"/>
        <w:rPr>
          <w:rFonts w:eastAsia="黑体"/>
          <w:kern w:val="0"/>
          <w:sz w:val="32"/>
          <w:szCs w:val="32"/>
        </w:rPr>
      </w:pPr>
      <w:r>
        <w:rPr>
          <w:rFonts w:eastAsia="黑体"/>
          <w:kern w:val="0"/>
          <w:sz w:val="32"/>
          <w:szCs w:val="32"/>
        </w:rPr>
        <w:lastRenderedPageBreak/>
        <w:t>二、部门预算单位构成</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kern w:val="2"/>
          <w:sz w:val="32"/>
          <w:szCs w:val="32"/>
        </w:rPr>
        <w:t>长沙金霞经济开发区管理委员会部门只有本级，没有其他预算单位，因此本部门预算仅含本级预算。</w:t>
      </w:r>
    </w:p>
    <w:p w:rsidR="00A90DB7" w:rsidRDefault="005C06FD">
      <w:pPr>
        <w:widowControl/>
        <w:spacing w:line="600" w:lineRule="exact"/>
        <w:ind w:firstLineChars="200" w:firstLine="640"/>
        <w:jc w:val="left"/>
        <w:rPr>
          <w:rFonts w:eastAsia="黑体"/>
          <w:bCs/>
          <w:kern w:val="0"/>
          <w:sz w:val="32"/>
          <w:szCs w:val="32"/>
        </w:rPr>
      </w:pPr>
      <w:r>
        <w:rPr>
          <w:rFonts w:eastAsia="黑体" w:hint="eastAsia"/>
          <w:bCs/>
          <w:kern w:val="0"/>
          <w:sz w:val="32"/>
          <w:szCs w:val="32"/>
        </w:rPr>
        <w:t>三、</w:t>
      </w:r>
      <w:r>
        <w:rPr>
          <w:rFonts w:eastAsia="黑体"/>
          <w:bCs/>
          <w:kern w:val="0"/>
          <w:sz w:val="32"/>
          <w:szCs w:val="32"/>
        </w:rPr>
        <w:t>部门收支总体情况</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（一）收入预算：</w:t>
      </w:r>
      <w:r>
        <w:rPr>
          <w:rFonts w:ascii="仿宋" w:eastAsia="仿宋" w:hAnsi="仿宋" w:cs="仿宋"/>
          <w:kern w:val="2"/>
          <w:sz w:val="32"/>
          <w:szCs w:val="32"/>
        </w:rPr>
        <w:t>包括一般公共预算、政府性基金、国有资本经营预算等财政拨款收入，以及经营收入、事业收入等单位资金。2021年本部门收入预算63715.54万元，其中，一般公共预算拨款53101万元，政府性基金预算拨款0万元，国有资本经营预算拨款0万元，纳入专户管理的非税收入0万元，上年结转10614.54万元。收入较去年增加6570.38万元，增加11.50%，主要是上年园区税收完成情况较好，以上年税收完成情况为基础预计。</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（二）支出预算：</w:t>
      </w:r>
      <w:r>
        <w:rPr>
          <w:rFonts w:ascii="仿宋" w:eastAsia="仿宋" w:hAnsi="仿宋" w:cs="仿宋"/>
          <w:kern w:val="2"/>
          <w:sz w:val="32"/>
          <w:szCs w:val="32"/>
        </w:rPr>
        <w:t>2021年本部门支出预算63715.54万元，其中，一般公共服务9110.24万元，社会保障和就业支出36.71万元，卫生健康支出105.05万元，节能环保支出905.76万元，城乡社区支出31979.5万元，农林水支出100万元，交通运输支出200万元，资源勘探信息等支出14857.55万元，商业服务业等支出6109.17万元，住房保障311.56万元。</w:t>
      </w:r>
      <w:r w:rsidRPr="00400E3E">
        <w:rPr>
          <w:rFonts w:ascii="仿宋" w:eastAsia="仿宋" w:hAnsi="仿宋" w:cs="仿宋"/>
          <w:kern w:val="2"/>
          <w:sz w:val="32"/>
          <w:szCs w:val="32"/>
        </w:rPr>
        <w:t>支出较去年增加6570.38万元，增加11.50%，</w:t>
      </w:r>
      <w:r>
        <w:rPr>
          <w:rFonts w:ascii="仿宋" w:eastAsia="仿宋" w:hAnsi="仿宋" w:cs="仿宋"/>
          <w:kern w:val="2"/>
          <w:sz w:val="32"/>
          <w:szCs w:val="32"/>
        </w:rPr>
        <w:t>主要原因是为应对新冠肺炎疫情，减轻企业负担、加强</w:t>
      </w:r>
      <w:proofErr w:type="gramStart"/>
      <w:r>
        <w:rPr>
          <w:rFonts w:ascii="仿宋" w:eastAsia="仿宋" w:hAnsi="仿宋" w:cs="仿宋"/>
          <w:kern w:val="2"/>
          <w:sz w:val="32"/>
          <w:szCs w:val="32"/>
        </w:rPr>
        <w:t>就业稳岗支持</w:t>
      </w:r>
      <w:proofErr w:type="gramEnd"/>
      <w:r>
        <w:rPr>
          <w:rFonts w:ascii="仿宋" w:eastAsia="仿宋" w:hAnsi="仿宋" w:cs="仿宋"/>
          <w:kern w:val="2"/>
          <w:sz w:val="32"/>
          <w:szCs w:val="32"/>
        </w:rPr>
        <w:t>，加大对企业的扶持力度，同时将进一步加大招商引资强度，优化营商环境。</w:t>
      </w:r>
    </w:p>
    <w:p w:rsidR="00A90DB7" w:rsidRDefault="005C06FD">
      <w:pPr>
        <w:widowControl/>
        <w:spacing w:line="600" w:lineRule="exact"/>
        <w:ind w:firstLine="660"/>
        <w:jc w:val="left"/>
        <w:rPr>
          <w:rFonts w:eastAsia="黑体"/>
          <w:sz w:val="32"/>
          <w:szCs w:val="32"/>
        </w:rPr>
      </w:pPr>
      <w:r>
        <w:rPr>
          <w:rFonts w:eastAsia="黑体"/>
          <w:sz w:val="32"/>
          <w:szCs w:val="32"/>
        </w:rPr>
        <w:t>四、一般公共预算拨款支出</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kern w:val="2"/>
          <w:sz w:val="32"/>
          <w:szCs w:val="32"/>
        </w:rPr>
        <w:lastRenderedPageBreak/>
        <w:t>2021年部门一般公共预算拨款支出预算6371</w:t>
      </w:r>
      <w:r w:rsidR="00707912">
        <w:rPr>
          <w:rFonts w:ascii="仿宋" w:eastAsia="仿宋" w:hAnsi="仿宋" w:cs="仿宋" w:hint="eastAsia"/>
          <w:kern w:val="2"/>
          <w:sz w:val="32"/>
          <w:szCs w:val="32"/>
        </w:rPr>
        <w:t>3.05</w:t>
      </w:r>
      <w:r>
        <w:rPr>
          <w:rFonts w:ascii="仿宋" w:eastAsia="仿宋" w:hAnsi="仿宋" w:cs="仿宋"/>
          <w:kern w:val="2"/>
          <w:sz w:val="32"/>
          <w:szCs w:val="32"/>
        </w:rPr>
        <w:t>万元，其中，一般公共服务9110.24万元，占比14.3</w:t>
      </w:r>
      <w:r w:rsidR="00707912">
        <w:rPr>
          <w:rFonts w:ascii="仿宋" w:eastAsia="仿宋" w:hAnsi="仿宋" w:cs="仿宋" w:hint="eastAsia"/>
          <w:kern w:val="2"/>
          <w:sz w:val="32"/>
          <w:szCs w:val="32"/>
        </w:rPr>
        <w:t>0</w:t>
      </w:r>
      <w:r>
        <w:rPr>
          <w:rFonts w:ascii="仿宋" w:eastAsia="仿宋" w:hAnsi="仿宋" w:cs="仿宋"/>
          <w:kern w:val="2"/>
          <w:sz w:val="32"/>
          <w:szCs w:val="32"/>
        </w:rPr>
        <w:t>%；社会保障和就业支出36.71万元，占比0.06%；卫生健康支出105.05万元，占比0.16%；节能环保支出905.76万元，占比1.42%；城乡社区支出31979.5万元，占比50.19%；农林水支出100万元，占比0.16%；交通运输支出200万元，占比0.31%；资源勘探信息等支出1485</w:t>
      </w:r>
      <w:r w:rsidR="00707912">
        <w:rPr>
          <w:rFonts w:ascii="仿宋" w:eastAsia="仿宋" w:hAnsi="仿宋" w:cs="仿宋" w:hint="eastAsia"/>
          <w:kern w:val="2"/>
          <w:sz w:val="32"/>
          <w:szCs w:val="32"/>
        </w:rPr>
        <w:t>5.06</w:t>
      </w:r>
      <w:r>
        <w:rPr>
          <w:rFonts w:ascii="仿宋" w:eastAsia="仿宋" w:hAnsi="仿宋" w:cs="仿宋"/>
          <w:kern w:val="2"/>
          <w:sz w:val="32"/>
          <w:szCs w:val="32"/>
        </w:rPr>
        <w:t>万元，占比23.32%；商业服务业等支出6109.17万元，占比9.59%；住房保障311.56万元，占比0.49%。具体安排情况如下：</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（一）基本支出：</w:t>
      </w:r>
      <w:r>
        <w:rPr>
          <w:rFonts w:ascii="仿宋" w:eastAsia="仿宋" w:hAnsi="仿宋" w:cs="仿宋"/>
          <w:kern w:val="2"/>
          <w:sz w:val="32"/>
          <w:szCs w:val="32"/>
        </w:rPr>
        <w:t>2021年预算数为4939.63万元，主要是为保障部门正常运转、完成日常工作任务而发生的各项支出，包括用于基本工资、津贴补贴等人员经费以及办公费、印刷费、水电费、办公设备购置等公用经费。</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（二）项目支出：</w:t>
      </w:r>
      <w:r>
        <w:rPr>
          <w:rFonts w:ascii="仿宋" w:eastAsia="仿宋" w:hAnsi="仿宋" w:cs="仿宋"/>
          <w:kern w:val="2"/>
          <w:sz w:val="32"/>
          <w:szCs w:val="32"/>
        </w:rPr>
        <w:t>2021年本部门项目支出预算5877</w:t>
      </w:r>
      <w:r w:rsidR="00707912">
        <w:rPr>
          <w:rFonts w:ascii="仿宋" w:eastAsia="仿宋" w:hAnsi="仿宋" w:cs="仿宋" w:hint="eastAsia"/>
          <w:kern w:val="2"/>
          <w:sz w:val="32"/>
          <w:szCs w:val="32"/>
        </w:rPr>
        <w:t>3.42</w:t>
      </w:r>
      <w:r>
        <w:rPr>
          <w:rFonts w:ascii="仿宋" w:eastAsia="仿宋" w:hAnsi="仿宋" w:cs="仿宋"/>
          <w:kern w:val="2"/>
          <w:sz w:val="32"/>
          <w:szCs w:val="32"/>
        </w:rPr>
        <w:t>万元，主要是部门为完成特定行政工作任务或事业发展目标而发生的支出，包括有关事业发展专项、专项业务费、基本建设支出等，其中：安全生产专项308.19万元，主要用于安全生产专项整治三年行动、园区100家企业较大危险因素辨识及事故管控、微型消防站等；</w:t>
      </w:r>
      <w:proofErr w:type="gramStart"/>
      <w:r>
        <w:rPr>
          <w:rFonts w:ascii="仿宋" w:eastAsia="仿宋" w:hAnsi="仿宋" w:cs="仿宋"/>
          <w:kern w:val="2"/>
          <w:sz w:val="32"/>
          <w:szCs w:val="32"/>
        </w:rPr>
        <w:t>产业链办专项</w:t>
      </w:r>
      <w:proofErr w:type="gramEnd"/>
      <w:r>
        <w:rPr>
          <w:rFonts w:ascii="仿宋" w:eastAsia="仿宋" w:hAnsi="仿宋" w:cs="仿宋"/>
          <w:kern w:val="2"/>
          <w:sz w:val="32"/>
          <w:szCs w:val="32"/>
        </w:rPr>
        <w:t>6</w:t>
      </w:r>
      <w:r w:rsidR="00707912">
        <w:rPr>
          <w:rFonts w:ascii="仿宋" w:eastAsia="仿宋" w:hAnsi="仿宋" w:cs="仿宋" w:hint="eastAsia"/>
          <w:kern w:val="2"/>
          <w:sz w:val="32"/>
          <w:szCs w:val="32"/>
        </w:rPr>
        <w:t>4.81</w:t>
      </w:r>
      <w:bookmarkStart w:id="0" w:name="_GoBack"/>
      <w:bookmarkEnd w:id="0"/>
      <w:r>
        <w:rPr>
          <w:rFonts w:ascii="仿宋" w:eastAsia="仿宋" w:hAnsi="仿宋" w:cs="仿宋"/>
          <w:kern w:val="2"/>
          <w:sz w:val="32"/>
          <w:szCs w:val="32"/>
        </w:rPr>
        <w:t>万元，主要用于</w:t>
      </w:r>
      <w:proofErr w:type="gramStart"/>
      <w:r>
        <w:rPr>
          <w:rFonts w:ascii="仿宋" w:eastAsia="仿宋" w:hAnsi="仿宋" w:cs="仿宋"/>
          <w:kern w:val="2"/>
          <w:sz w:val="32"/>
          <w:szCs w:val="32"/>
        </w:rPr>
        <w:t>产业链办相关</w:t>
      </w:r>
      <w:proofErr w:type="gramEnd"/>
      <w:r>
        <w:rPr>
          <w:rFonts w:ascii="仿宋" w:eastAsia="仿宋" w:hAnsi="仿宋" w:cs="仿宋"/>
          <w:kern w:val="2"/>
          <w:sz w:val="32"/>
          <w:szCs w:val="32"/>
        </w:rPr>
        <w:t>工作支出；其他业务工作经费3302.93万元，主要用于园区经济运行、产业发展、疫情防控、咨询、宣传等；招商引资专项320万元，主要用于招商节会、外出招商等；知识产权专项100万元，主要用于高新</w:t>
      </w:r>
      <w:r>
        <w:rPr>
          <w:rFonts w:ascii="仿宋" w:eastAsia="仿宋" w:hAnsi="仿宋" w:cs="仿宋"/>
          <w:kern w:val="2"/>
          <w:sz w:val="32"/>
          <w:szCs w:val="32"/>
        </w:rPr>
        <w:lastRenderedPageBreak/>
        <w:t>技术企业培育、知识产权宣传周、知识产权贯标培训、驻长高校知识产权转化工作等；党建经费528万元，主要用于“两新”党建、党建阵地建设、开展建党100周年系列活动等；节能环保专项291万元，主要用于园区生态环境第三方治理、环境影响跟踪评价、VOCs的整治、企业固体废物污染排查等；政府投资项目支出1339.14万元，主要用于支付园区政府投资项目工程款；规划审查专项1248.12万元，主要用于规划技术服务及审查、国土规划空间信息管理系统建设及监理、片区规划调整、控</w:t>
      </w:r>
      <w:proofErr w:type="gramStart"/>
      <w:r>
        <w:rPr>
          <w:rFonts w:ascii="仿宋" w:eastAsia="仿宋" w:hAnsi="仿宋" w:cs="仿宋"/>
          <w:kern w:val="2"/>
          <w:sz w:val="32"/>
          <w:szCs w:val="32"/>
        </w:rPr>
        <w:t>规</w:t>
      </w:r>
      <w:proofErr w:type="gramEnd"/>
      <w:r>
        <w:rPr>
          <w:rFonts w:ascii="仿宋" w:eastAsia="仿宋" w:hAnsi="仿宋" w:cs="仿宋"/>
          <w:kern w:val="2"/>
          <w:sz w:val="32"/>
          <w:szCs w:val="32"/>
        </w:rPr>
        <w:t>修编、施工图审查、土地测量等；扶贫专项100万元，主要用于扫尾扶贫工作；其他城乡社区专项30007万元，主要用于统征拆迁、处理辖区范围社会事务等支出；支持中小企业发展专项14855.06万元，主要用于园区产业升级发展配套以及防疫政策补贴；公交补贴200万元，主要用于园区公交运营补贴；外向型经济发展专项6109.17万元，主要支持外贸及跨境电商发展。</w:t>
      </w:r>
    </w:p>
    <w:p w:rsidR="00A90DB7" w:rsidRDefault="005C06FD">
      <w:pPr>
        <w:widowControl/>
        <w:spacing w:line="600" w:lineRule="exact"/>
        <w:ind w:firstLine="660"/>
        <w:jc w:val="left"/>
        <w:rPr>
          <w:rFonts w:eastAsia="黑体"/>
          <w:sz w:val="32"/>
          <w:szCs w:val="32"/>
        </w:rPr>
      </w:pPr>
      <w:r>
        <w:rPr>
          <w:rFonts w:eastAsia="黑体"/>
          <w:sz w:val="32"/>
          <w:szCs w:val="32"/>
        </w:rPr>
        <w:t>五、政府性基金预算支出</w:t>
      </w:r>
    </w:p>
    <w:p w:rsidR="00A90DB7" w:rsidRDefault="005C06FD">
      <w:pPr>
        <w:pStyle w:val="a5"/>
        <w:widowControl/>
        <w:shd w:val="clear" w:color="auto" w:fill="FFFFFF"/>
        <w:spacing w:beforeAutospacing="0" w:afterAutospacing="0" w:line="600" w:lineRule="exact"/>
        <w:ind w:firstLineChars="200" w:firstLine="640"/>
        <w:rPr>
          <w:rFonts w:ascii="仿宋" w:eastAsia="仿宋" w:hAnsi="仿宋" w:cs="仿宋"/>
          <w:kern w:val="2"/>
          <w:sz w:val="32"/>
          <w:szCs w:val="32"/>
        </w:rPr>
      </w:pPr>
      <w:r>
        <w:rPr>
          <w:rFonts w:ascii="仿宋" w:eastAsia="仿宋" w:hAnsi="仿宋" w:cs="仿宋"/>
          <w:kern w:val="2"/>
          <w:sz w:val="32"/>
          <w:szCs w:val="32"/>
        </w:rPr>
        <w:t>2021年本部门无政府性基金安排的支出。</w:t>
      </w:r>
    </w:p>
    <w:p w:rsidR="00A90DB7" w:rsidRDefault="005C06FD">
      <w:pPr>
        <w:widowControl/>
        <w:spacing w:line="600" w:lineRule="exact"/>
        <w:ind w:firstLine="660"/>
        <w:jc w:val="left"/>
        <w:rPr>
          <w:rFonts w:eastAsia="黑体"/>
          <w:sz w:val="32"/>
          <w:szCs w:val="32"/>
        </w:rPr>
      </w:pPr>
      <w:r>
        <w:rPr>
          <w:rFonts w:eastAsia="黑体"/>
          <w:sz w:val="32"/>
          <w:szCs w:val="32"/>
        </w:rPr>
        <w:t>六、其他重要事项的情况说明</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（一）机关运行经费：</w:t>
      </w:r>
      <w:r>
        <w:rPr>
          <w:rFonts w:ascii="仿宋" w:eastAsia="仿宋" w:hAnsi="仿宋" w:cs="仿宋"/>
          <w:kern w:val="2"/>
          <w:sz w:val="32"/>
          <w:szCs w:val="32"/>
        </w:rPr>
        <w:t>2021年本部门机关本级行政事业单位的机关运行经费967万元，比上年预算减少301.94万元，下降23.79%，主要是园区积极贯彻落实中央、省、市、区关于“过紧日子”的要求，压缩相关运行经费。</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lastRenderedPageBreak/>
        <w:t>（二）“三公”经费预算：</w:t>
      </w:r>
      <w:r>
        <w:rPr>
          <w:rFonts w:ascii="仿宋" w:eastAsia="仿宋" w:hAnsi="仿宋" w:cs="仿宋"/>
          <w:kern w:val="2"/>
          <w:sz w:val="32"/>
          <w:szCs w:val="32"/>
        </w:rPr>
        <w:t>2021年本部门机关本级行政事业单位“三公”经费预算数为15.8万元，其中，公务接待费5.8万元，公务用车购置及运行费0万元（其中，公务用车购置费0万元，公务用车运行费0万元），因公出国(境)费10万元。2021年“三公”经费预算较2020年下降57.6万元，</w:t>
      </w:r>
      <w:r w:rsidR="00400E3E">
        <w:rPr>
          <w:rFonts w:ascii="仿宋" w:eastAsia="仿宋" w:hAnsi="仿宋" w:cs="仿宋"/>
          <w:kern w:val="2"/>
          <w:sz w:val="32"/>
          <w:szCs w:val="32"/>
        </w:rPr>
        <w:t>下降</w:t>
      </w:r>
      <w:r w:rsidR="00400E3E">
        <w:rPr>
          <w:rFonts w:ascii="仿宋" w:eastAsia="仿宋" w:hAnsi="仿宋" w:cs="仿宋" w:hint="eastAsia"/>
          <w:kern w:val="2"/>
          <w:sz w:val="32"/>
          <w:szCs w:val="32"/>
        </w:rPr>
        <w:t>78.47</w:t>
      </w:r>
      <w:r w:rsidR="00400E3E">
        <w:rPr>
          <w:rFonts w:ascii="仿宋" w:eastAsia="仿宋" w:hAnsi="仿宋" w:cs="仿宋"/>
          <w:kern w:val="2"/>
          <w:sz w:val="32"/>
          <w:szCs w:val="32"/>
        </w:rPr>
        <w:t>%</w:t>
      </w:r>
      <w:r w:rsidR="00400E3E">
        <w:rPr>
          <w:rFonts w:ascii="仿宋" w:eastAsia="仿宋" w:hAnsi="仿宋" w:cs="仿宋" w:hint="eastAsia"/>
          <w:kern w:val="2"/>
          <w:sz w:val="32"/>
          <w:szCs w:val="32"/>
        </w:rPr>
        <w:t>，</w:t>
      </w:r>
      <w:r>
        <w:rPr>
          <w:rFonts w:ascii="仿宋" w:eastAsia="仿宋" w:hAnsi="仿宋" w:cs="仿宋"/>
          <w:kern w:val="2"/>
          <w:sz w:val="32"/>
          <w:szCs w:val="32"/>
        </w:rPr>
        <w:t>主要是园区认真贯彻落实上级部门“过紧日子”精神和厉行节约要求，进一步从严控制“三公”经费开支。</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（三）一般性支出情况：</w:t>
      </w:r>
      <w:r>
        <w:rPr>
          <w:rFonts w:ascii="仿宋" w:eastAsia="仿宋" w:hAnsi="仿宋" w:cs="仿宋"/>
          <w:kern w:val="2"/>
          <w:sz w:val="32"/>
          <w:szCs w:val="32"/>
        </w:rPr>
        <w:t>2021年本部门会议费预算17.63万元，拟召开园区经济工作会、动员会、务虚会等会议，人数总计约1000人，内容为分析调度园区经济形势、分析调度本年工作总结与下一年度工作计划等；培训费预算230万元，人数总计约1500人，拟组织园区企业高</w:t>
      </w:r>
      <w:proofErr w:type="gramStart"/>
      <w:r>
        <w:rPr>
          <w:rFonts w:ascii="仿宋" w:eastAsia="仿宋" w:hAnsi="仿宋" w:cs="仿宋"/>
          <w:kern w:val="2"/>
          <w:sz w:val="32"/>
          <w:szCs w:val="32"/>
        </w:rPr>
        <w:t>管参加</w:t>
      </w:r>
      <w:proofErr w:type="gramEnd"/>
      <w:r>
        <w:rPr>
          <w:rFonts w:ascii="仿宋" w:eastAsia="仿宋" w:hAnsi="仿宋" w:cs="仿宋"/>
          <w:kern w:val="2"/>
          <w:sz w:val="32"/>
          <w:szCs w:val="32"/>
        </w:rPr>
        <w:t>专题研修班，组织园区“朝霞工程”储备人才库成员培训，组织“三金工程”秋训班，组织党工委（扩大）学习、党建、金霞大讲堂等培训，内容为开展工作业务培训以及为党建知识等培训；拟举办庆祝中国共产党成立100周年暨</w:t>
      </w:r>
      <w:proofErr w:type="gramStart"/>
      <w:r>
        <w:rPr>
          <w:rFonts w:ascii="仿宋" w:eastAsia="仿宋" w:hAnsi="仿宋" w:cs="仿宋"/>
          <w:kern w:val="2"/>
          <w:sz w:val="32"/>
          <w:szCs w:val="32"/>
        </w:rPr>
        <w:t>践行</w:t>
      </w:r>
      <w:proofErr w:type="gramEnd"/>
      <w:r>
        <w:rPr>
          <w:rFonts w:ascii="仿宋" w:eastAsia="仿宋" w:hAnsi="仿宋" w:cs="仿宋"/>
          <w:kern w:val="2"/>
          <w:sz w:val="32"/>
          <w:szCs w:val="32"/>
        </w:rPr>
        <w:t>“三高四新”战略推进高质量发展活动，经费预算30万元。</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（四）政府采购情况：</w:t>
      </w:r>
      <w:r>
        <w:rPr>
          <w:rFonts w:ascii="仿宋" w:eastAsia="仿宋" w:hAnsi="仿宋" w:cs="仿宋"/>
          <w:kern w:val="2"/>
          <w:sz w:val="32"/>
          <w:szCs w:val="32"/>
        </w:rPr>
        <w:t>2021年本部门政府采购预算总额3161.69万元，其中：货物类采购预算67.53万元、工程类采购预算0万元；服务类采购预算3094.16万元。</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sz w:val="32"/>
          <w:szCs w:val="32"/>
        </w:rPr>
        <w:t>（五）国有资产占用使用及新增资产配置情况：</w:t>
      </w:r>
      <w:r>
        <w:rPr>
          <w:rFonts w:ascii="仿宋" w:eastAsia="仿宋" w:hAnsi="仿宋" w:cs="仿宋"/>
          <w:kern w:val="2"/>
          <w:sz w:val="32"/>
          <w:szCs w:val="32"/>
        </w:rPr>
        <w:t>截至2020年12月底，本部门共有公务用车0辆，其中，机要通信用</w:t>
      </w:r>
      <w:r>
        <w:rPr>
          <w:rFonts w:ascii="仿宋" w:eastAsia="仿宋" w:hAnsi="仿宋" w:cs="仿宋"/>
          <w:kern w:val="2"/>
          <w:sz w:val="32"/>
          <w:szCs w:val="32"/>
        </w:rPr>
        <w:lastRenderedPageBreak/>
        <w:t>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rsidR="00A90DB7" w:rsidRDefault="005C06FD">
      <w:pPr>
        <w:pStyle w:val="a5"/>
        <w:widowControl/>
        <w:shd w:val="clear" w:color="auto" w:fill="FFFFFF"/>
        <w:spacing w:beforeAutospacing="0" w:afterAutospacing="0" w:line="600" w:lineRule="exact"/>
        <w:ind w:firstLine="480"/>
        <w:rPr>
          <w:rFonts w:ascii="仿宋" w:eastAsia="仿宋" w:hAnsi="仿宋" w:cs="仿宋"/>
          <w:kern w:val="2"/>
          <w:sz w:val="32"/>
          <w:szCs w:val="32"/>
        </w:rPr>
      </w:pPr>
      <w:r>
        <w:rPr>
          <w:rFonts w:ascii="仿宋" w:eastAsia="仿宋" w:hAnsi="仿宋" w:cs="仿宋" w:hint="eastAsia"/>
          <w:b/>
          <w:bCs/>
          <w:sz w:val="32"/>
          <w:szCs w:val="32"/>
        </w:rPr>
        <w:t>（六）预算绩效目标说明：</w:t>
      </w:r>
      <w:r>
        <w:rPr>
          <w:rFonts w:ascii="仿宋" w:eastAsia="仿宋" w:hAnsi="仿宋" w:cs="仿宋"/>
          <w:kern w:val="2"/>
          <w:sz w:val="32"/>
          <w:szCs w:val="32"/>
        </w:rPr>
        <w:t>纳入2021年部门整体支出绩效目标的金额为63715.54万元，其中，基本支出4939.63万元，项目支出58775.91万元，具体绩效目标详见报表。</w:t>
      </w:r>
    </w:p>
    <w:p w:rsidR="00A90DB7" w:rsidRDefault="005C06FD">
      <w:pPr>
        <w:widowControl/>
        <w:spacing w:line="600" w:lineRule="exact"/>
        <w:ind w:firstLine="660"/>
        <w:rPr>
          <w:rFonts w:eastAsia="黑体"/>
          <w:sz w:val="32"/>
          <w:szCs w:val="32"/>
        </w:rPr>
      </w:pPr>
      <w:r>
        <w:rPr>
          <w:rFonts w:eastAsia="黑体"/>
          <w:sz w:val="32"/>
          <w:szCs w:val="32"/>
        </w:rPr>
        <w:t>七、名词解释</w:t>
      </w:r>
    </w:p>
    <w:p w:rsidR="00A90DB7" w:rsidRDefault="005C06FD">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1、一般公共预算拨款收入：指开福区财政当年</w:t>
      </w:r>
      <w:r w:rsidR="00686E26">
        <w:rPr>
          <w:rFonts w:ascii="仿宋" w:eastAsia="仿宋" w:hAnsi="仿宋" w:cs="仿宋" w:hint="eastAsia"/>
          <w:sz w:val="32"/>
          <w:szCs w:val="32"/>
        </w:rPr>
        <w:t>批复的收入</w:t>
      </w:r>
      <w:r>
        <w:rPr>
          <w:rFonts w:ascii="仿宋" w:eastAsia="仿宋" w:hAnsi="仿宋" w:cs="仿宋" w:hint="eastAsia"/>
          <w:sz w:val="32"/>
          <w:szCs w:val="32"/>
        </w:rPr>
        <w:t>。</w:t>
      </w:r>
    </w:p>
    <w:p w:rsidR="00A90DB7" w:rsidRDefault="005C06FD">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2、基本支出：指为保障机构正常运转、完成日常工作任务而发生的人员支出和公用支出。</w:t>
      </w:r>
    </w:p>
    <w:p w:rsidR="00A90DB7" w:rsidRDefault="005C06FD">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3、项目支出：指在基本支出之外为完成特定行政任务和事业发展目标所发生的支出。</w:t>
      </w:r>
    </w:p>
    <w:p w:rsidR="00A90DB7" w:rsidRDefault="005C06FD">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A90DB7" w:rsidRDefault="005C06FD">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lastRenderedPageBreak/>
        <w:t>5、“三公”经费：纳入省（市/县）财政预算管理的“三公”经费，是指用一般公共预算拨款安排的公务接待费、公务用车购置及运行维护费和因公出国（境）费。其中，公务接待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购置税），以及燃料费、维修费、保险费等支出；因公出国（境）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单位公务出国（境）的国际旅费、国外城市间交通费、住宿费、伙食费、培训费、公杂费等等支出。</w:t>
      </w:r>
    </w:p>
    <w:p w:rsidR="00A90DB7" w:rsidRDefault="00A90DB7">
      <w:pPr>
        <w:widowControl/>
        <w:spacing w:line="600" w:lineRule="exact"/>
        <w:jc w:val="center"/>
        <w:rPr>
          <w:rFonts w:ascii="黑体" w:eastAsia="黑体" w:hAnsi="黑体" w:cs="黑体"/>
          <w:b/>
          <w:bCs/>
          <w:kern w:val="0"/>
          <w:sz w:val="44"/>
          <w:szCs w:val="44"/>
        </w:rPr>
      </w:pPr>
    </w:p>
    <w:p w:rsidR="00A90DB7" w:rsidRDefault="00A90DB7">
      <w:pPr>
        <w:widowControl/>
        <w:spacing w:line="600" w:lineRule="exact"/>
        <w:jc w:val="center"/>
        <w:rPr>
          <w:rFonts w:ascii="黑体" w:eastAsia="黑体" w:hAnsi="黑体" w:cs="黑体"/>
          <w:b/>
          <w:bCs/>
          <w:kern w:val="0"/>
          <w:sz w:val="44"/>
          <w:szCs w:val="44"/>
        </w:rPr>
      </w:pPr>
    </w:p>
    <w:p w:rsidR="00A90DB7" w:rsidRDefault="005C06FD">
      <w:pPr>
        <w:widowControl/>
        <w:spacing w:line="600" w:lineRule="exact"/>
        <w:ind w:firstLineChars="200" w:firstLine="883"/>
        <w:jc w:val="center"/>
        <w:rPr>
          <w:rFonts w:ascii="仿宋" w:eastAsia="仿宋" w:hAnsi="仿宋" w:cs="仿宋"/>
          <w:b/>
          <w:kern w:val="0"/>
          <w:sz w:val="36"/>
          <w:szCs w:val="36"/>
        </w:rPr>
      </w:pPr>
      <w:r>
        <w:rPr>
          <w:rFonts w:ascii="黑体" w:eastAsia="黑体" w:hAnsi="黑体" w:cs="黑体" w:hint="eastAsia"/>
          <w:b/>
          <w:kern w:val="0"/>
          <w:sz w:val="44"/>
          <w:szCs w:val="44"/>
        </w:rPr>
        <w:t>第二部分 2021年部门预算表</w:t>
      </w:r>
    </w:p>
    <w:p w:rsidR="00A90DB7" w:rsidRDefault="00A90DB7">
      <w:pPr>
        <w:pStyle w:val="a5"/>
        <w:widowControl/>
        <w:shd w:val="clear" w:color="auto" w:fill="FFFFFF"/>
        <w:spacing w:beforeAutospacing="0" w:afterAutospacing="0" w:line="432" w:lineRule="atLeast"/>
        <w:ind w:firstLine="480"/>
        <w:rPr>
          <w:rFonts w:ascii="仿宋" w:eastAsia="仿宋" w:hAnsi="仿宋" w:cs="仿宋"/>
          <w:sz w:val="32"/>
          <w:szCs w:val="32"/>
        </w:rPr>
      </w:pPr>
    </w:p>
    <w:sectPr w:rsidR="00A90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28" w:rsidRDefault="00775B28" w:rsidP="00400E3E">
      <w:r>
        <w:separator/>
      </w:r>
    </w:p>
  </w:endnote>
  <w:endnote w:type="continuationSeparator" w:id="0">
    <w:p w:rsidR="00775B28" w:rsidRDefault="00775B28" w:rsidP="004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28" w:rsidRDefault="00775B28" w:rsidP="00400E3E">
      <w:r>
        <w:separator/>
      </w:r>
    </w:p>
  </w:footnote>
  <w:footnote w:type="continuationSeparator" w:id="0">
    <w:p w:rsidR="00775B28" w:rsidRDefault="00775B28" w:rsidP="0040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E522DF"/>
    <w:rsid w:val="0001215E"/>
    <w:rsid w:val="00227B92"/>
    <w:rsid w:val="00292C58"/>
    <w:rsid w:val="00400E3E"/>
    <w:rsid w:val="005C06FD"/>
    <w:rsid w:val="00686E26"/>
    <w:rsid w:val="00707912"/>
    <w:rsid w:val="00774C48"/>
    <w:rsid w:val="00775B28"/>
    <w:rsid w:val="009B3E4E"/>
    <w:rsid w:val="00A2735A"/>
    <w:rsid w:val="00A363B5"/>
    <w:rsid w:val="00A90DB7"/>
    <w:rsid w:val="00E522DF"/>
    <w:rsid w:val="6FF90714"/>
    <w:rsid w:val="77D16798"/>
    <w:rsid w:val="7CF8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
    <w:name w:val="页脚 Char"/>
    <w:basedOn w:val="a0"/>
    <w:link w:val="a3"/>
    <w:uiPriority w:val="99"/>
    <w:qFormat/>
    <w:rPr>
      <w:kern w:val="2"/>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641</Words>
  <Characters>3659</Characters>
  <Application>Microsoft Office Word</Application>
  <DocSecurity>0</DocSecurity>
  <Lines>30</Lines>
  <Paragraphs>8</Paragraphs>
  <ScaleCrop>false</ScaleCrop>
  <Company>Sky123.Org</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超级管理员</cp:lastModifiedBy>
  <cp:revision>7</cp:revision>
  <dcterms:created xsi:type="dcterms:W3CDTF">2022-06-28T11:54:00Z</dcterms:created>
  <dcterms:modified xsi:type="dcterms:W3CDTF">2022-09-15T02:02:00Z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983286A1E8244D7A96AA704026A5E008</vt:lpwstr>
  </property>
</Properties>
</file>