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700" w:lineRule="exact"/>
        <w:jc w:val="center"/>
        <w:rPr>
          <w:rFonts w:ascii="宋体" w:hAnsi="宋体" w:cs="宋体"/>
          <w:spacing w:val="45"/>
          <w:sz w:val="44"/>
          <w:szCs w:val="44"/>
        </w:rPr>
      </w:pPr>
    </w:p>
    <w:p>
      <w:pPr>
        <w:widowControl/>
        <w:shd w:val="clear" w:color="auto" w:fill="FFFFFF"/>
        <w:spacing w:line="700" w:lineRule="exact"/>
        <w:jc w:val="center"/>
        <w:rPr>
          <w:rFonts w:ascii="宋体" w:hAnsi="宋体" w:cs="宋体"/>
          <w:spacing w:val="45"/>
          <w:sz w:val="44"/>
          <w:szCs w:val="44"/>
        </w:rPr>
      </w:pPr>
    </w:p>
    <w:p>
      <w:pPr>
        <w:widowControl/>
        <w:shd w:val="clear" w:color="auto" w:fill="FFFFFF"/>
        <w:spacing w:line="700" w:lineRule="exact"/>
        <w:jc w:val="center"/>
        <w:rPr>
          <w:rFonts w:ascii="方正小标宋简体" w:hAnsi="宋体" w:eastAsia="方正小标宋简体" w:cs="宋体"/>
          <w:spacing w:val="45"/>
          <w:sz w:val="44"/>
          <w:szCs w:val="44"/>
        </w:rPr>
      </w:pPr>
      <w:r>
        <w:rPr>
          <w:rFonts w:hint="eastAsia" w:ascii="方正小标宋简体" w:hAnsi="宋体" w:eastAsia="方正小标宋简体" w:cs="宋体"/>
          <w:spacing w:val="45"/>
          <w:sz w:val="44"/>
          <w:szCs w:val="44"/>
        </w:rPr>
        <w:t>2018年度绩效自评报告</w:t>
      </w:r>
    </w:p>
    <w:p>
      <w:pPr>
        <w:widowControl/>
        <w:shd w:val="clear" w:color="auto" w:fill="FFFFFF"/>
        <w:spacing w:line="700" w:lineRule="exact"/>
        <w:jc w:val="center"/>
        <w:rPr>
          <w:rFonts w:ascii="宋体" w:hAnsi="宋体" w:cs="宋体"/>
          <w:spacing w:val="45"/>
          <w:sz w:val="44"/>
          <w:szCs w:val="44"/>
        </w:rPr>
      </w:pP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一、部门概况</w:t>
      </w:r>
    </w:p>
    <w:p>
      <w:pPr>
        <w:adjustRightInd w:val="0"/>
        <w:snapToGrid w:val="0"/>
        <w:spacing w:line="580" w:lineRule="exact"/>
        <w:ind w:firstLine="321" w:firstLineChars="100"/>
        <w:rPr>
          <w:rFonts w:ascii="楷体_GB2312" w:hAnsi="仿宋" w:eastAsia="楷体_GB2312" w:cs="仿宋"/>
          <w:b/>
          <w:sz w:val="32"/>
          <w:szCs w:val="32"/>
        </w:rPr>
      </w:pPr>
      <w:r>
        <w:rPr>
          <w:rFonts w:hint="eastAsia" w:ascii="楷体_GB2312" w:hAnsi="华文楷体" w:eastAsia="楷体_GB2312" w:cs="华文楷体"/>
          <w:b/>
          <w:sz w:val="32"/>
          <w:szCs w:val="32"/>
        </w:rPr>
        <w:t>（一）部门主要职能职责</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贯彻执行党和国家有关发展经济开发区的方针、政策和法律、法规、规章；落实省、市、区关于金霞经开区的决策和部署；研究制定和组织实施金霞经开区的各项管理制度和改革措施；组织编制金霞经开区的中长期发展规划，制定年度工作计划并组织实施。</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按照长沙市城市总体规划和土地利用总体规划的要求，负责金霞经开区的规划、建设和土地开发相关工作，按权限编制金霞经开区建设规划及重大专项规划；统筹区内项目建设工作，组织授权范围内基建项目的审批、审核。</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3、负责金霞经开区的招商引资工作；负责研究制定产业发展政策并组织实施，统一产业规划布局，组织和协调重大项目的招商引资活动。</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4、负责金霞经开区内企业的指导、管理、服务和监督，按权限对区内企业和项目有关事项进行审核、审批、确认、备案管理，负责高新技术项目（企业）的申报，负责入园项目建设的全程服务；协调区内各企业、驻区机构与周边地区、单位的关系。</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5、负责金霞经开区党群、组织、纪检监察、综合、信息、审计、统计、干部人事、机构编制、社会保障、财政收支及国有资产管理等工作。</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6、按规定和权限负责金霞经开区安全生产、环境和资源保护，协调区内社会事务管理工作。</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7、负责金霞经开区有关涉外事务，负责授权范围内合资企业的审核、审批；指导、组织、协调对外经济技术交流与合作。</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8、承办中共长沙市开福区委、长沙市开福区人民政府交办的其他事项。</w:t>
      </w:r>
    </w:p>
    <w:p>
      <w:pPr>
        <w:adjustRightInd w:val="0"/>
        <w:snapToGrid w:val="0"/>
        <w:spacing w:line="580" w:lineRule="exact"/>
        <w:ind w:firstLine="643" w:firstLineChars="200"/>
        <w:rPr>
          <w:rFonts w:ascii="仿宋_GB2312" w:hAnsi="仿宋" w:eastAsia="仿宋_GB2312" w:cs="仿宋"/>
          <w:b/>
          <w:sz w:val="32"/>
          <w:szCs w:val="32"/>
        </w:rPr>
      </w:pPr>
      <w:r>
        <w:rPr>
          <w:rFonts w:hint="eastAsia" w:ascii="楷体_GB2312" w:hAnsi="华文楷体" w:eastAsia="楷体_GB2312" w:cs="华文楷体"/>
          <w:b/>
          <w:sz w:val="32"/>
          <w:szCs w:val="32"/>
        </w:rPr>
        <w:t>（二）机构设置</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单位独立编制机构数1个，管委会设5个内设机构，办公室，招商合作局，产业发展局，规划建设局，社会事务局；派出机构1个，长沙金霞经济开发区财政分局，为长沙市开福区财政局的派出机构。</w:t>
      </w:r>
    </w:p>
    <w:p>
      <w:pPr>
        <w:adjustRightInd w:val="0"/>
        <w:snapToGrid w:val="0"/>
        <w:spacing w:line="580" w:lineRule="exact"/>
        <w:ind w:firstLine="320" w:firstLineChars="100"/>
        <w:rPr>
          <w:rFonts w:ascii="楷体_GB2312" w:hAnsi="华文楷体" w:eastAsia="楷体_GB2312" w:cs="华文楷体"/>
          <w:sz w:val="32"/>
          <w:szCs w:val="32"/>
        </w:rPr>
      </w:pPr>
      <w:r>
        <w:rPr>
          <w:rFonts w:hint="eastAsia" w:ascii="楷体_GB2312" w:hAnsi="华文楷体" w:eastAsia="楷体_GB2312" w:cs="华文楷体"/>
          <w:sz w:val="32"/>
          <w:szCs w:val="32"/>
        </w:rPr>
        <w:t>（三）2018年预算批复25,000.00万元，全年实际收入37,295.58万元；实际支出34,235.88万元，其中基本支出3,900.5万元，项目支出30,335.38万元。</w:t>
      </w:r>
    </w:p>
    <w:p>
      <w:pPr>
        <w:adjustRightInd w:val="0"/>
        <w:snapToGrid w:val="0"/>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二、部门整体支出管理及使用情况</w:t>
      </w:r>
    </w:p>
    <w:p>
      <w:pPr>
        <w:adjustRightInd w:val="0"/>
        <w:snapToGrid w:val="0"/>
        <w:spacing w:line="580" w:lineRule="exact"/>
        <w:ind w:firstLine="643" w:firstLineChars="200"/>
        <w:rPr>
          <w:rFonts w:ascii="楷体_GB2312" w:hAnsi="华文楷体" w:eastAsia="楷体_GB2312" w:cs="华文楷体"/>
          <w:b/>
          <w:sz w:val="32"/>
          <w:szCs w:val="32"/>
        </w:rPr>
      </w:pPr>
      <w:r>
        <w:rPr>
          <w:rFonts w:hint="eastAsia" w:ascii="楷体_GB2312" w:hAnsi="华文楷体" w:eastAsia="楷体_GB2312" w:cs="华文楷体"/>
          <w:b/>
          <w:sz w:val="32"/>
          <w:szCs w:val="32"/>
        </w:rPr>
        <w:t>（一）收入支出预算安排情况</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年度年初收入预算25000万元，支出预算25000万元，年中预算调整为收入预算37295.58万元，支出预算调整为34235.88万元，收入调整原因为财政拨款收入增加，支出预算调整主要原因为本年度新增化债防控化解债务支出。</w:t>
      </w:r>
    </w:p>
    <w:p>
      <w:pPr>
        <w:adjustRightInd w:val="0"/>
        <w:snapToGrid w:val="0"/>
        <w:spacing w:line="580" w:lineRule="exact"/>
        <w:ind w:firstLine="643" w:firstLineChars="200"/>
        <w:rPr>
          <w:rFonts w:ascii="楷体_GB2312" w:hAnsi="华文楷体" w:eastAsia="楷体_GB2312" w:cs="华文楷体"/>
          <w:b/>
          <w:sz w:val="32"/>
          <w:szCs w:val="32"/>
        </w:rPr>
      </w:pPr>
      <w:r>
        <w:rPr>
          <w:rFonts w:hint="eastAsia" w:ascii="楷体_GB2312" w:hAnsi="华文楷体" w:eastAsia="楷体_GB2312" w:cs="华文楷体"/>
          <w:b/>
          <w:sz w:val="32"/>
          <w:szCs w:val="32"/>
        </w:rPr>
        <w:t>（二）收入支出预算执行情况</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1、收入情况。2018年总收入决算数为37295.58万元，比上年增加11382.67万元。</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2、支出情况。2018年总支出决算数为34235.88万元，比上年增加8332.97万元。其中基本支出决算数3900.5万元，占11.39%，项目支出30335.38万元，占88.61%。</w:t>
      </w:r>
    </w:p>
    <w:p>
      <w:pPr>
        <w:adjustRightInd w:val="0"/>
        <w:snapToGrid w:val="0"/>
        <w:spacing w:line="580" w:lineRule="exact"/>
        <w:ind w:firstLine="643" w:firstLineChars="200"/>
        <w:rPr>
          <w:rFonts w:ascii="仿宋_GB2312" w:hAnsi="仿宋" w:eastAsia="仿宋_GB2312" w:cs="仿宋"/>
          <w:b/>
          <w:bCs/>
          <w:sz w:val="32"/>
          <w:szCs w:val="32"/>
        </w:rPr>
      </w:pPr>
      <w:r>
        <w:rPr>
          <w:rFonts w:hint="eastAsia" w:ascii="仿宋_GB2312" w:hAnsi="仿宋" w:eastAsia="仿宋_GB2312" w:cs="仿宋"/>
          <w:b/>
          <w:bCs/>
          <w:sz w:val="32"/>
          <w:szCs w:val="32"/>
        </w:rPr>
        <w:t>（1） 基本支出</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2018年度基本支出决算数3900.5万元，占支出总额11.39%；主要包含2018年度人员工资福利支出、公共经费支出、部门费用支出等。</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其中“三公”经费支出情况：公务车运行与维护费支出预算数0万元，决算数0万元；公务接待支出预算数60.00万元，决算数37.96万元；因公出国出境预算数50.00万元，决算数0万元，主要是认真贯彻落实</w:t>
      </w:r>
      <w:r>
        <w:rPr>
          <w:rFonts w:hint="eastAsia" w:ascii="仿宋_GB2312" w:hAnsi="仿宋" w:eastAsia="仿宋_GB2312" w:cs="仿宋"/>
          <w:sz w:val="32"/>
          <w:szCs w:val="32"/>
          <w:lang w:eastAsia="zh-CN"/>
        </w:rPr>
        <w:t>中央八项规定</w:t>
      </w:r>
      <w:r>
        <w:rPr>
          <w:rFonts w:hint="eastAsia" w:ascii="仿宋_GB2312" w:hAnsi="仿宋" w:eastAsia="仿宋_GB2312" w:cs="仿宋"/>
          <w:sz w:val="32"/>
          <w:szCs w:val="32"/>
        </w:rPr>
        <w:t>和省委市委区委的“规定办法”精神和厉行节约要求，进一步从严控制“三公”经费开支，全年实际支出比预算有所节约，且2018年度无出国（境）考察学习情况。</w:t>
      </w:r>
    </w:p>
    <w:p>
      <w:pPr>
        <w:adjustRightInd w:val="0"/>
        <w:snapToGrid w:val="0"/>
        <w:spacing w:line="58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（2）</w:t>
      </w:r>
      <w:r>
        <w:rPr>
          <w:rFonts w:hint="eastAsia" w:ascii="仿宋_GB2312" w:hAnsi="仿宋" w:eastAsia="仿宋_GB2312" w:cs="仿宋"/>
          <w:b/>
          <w:bCs/>
          <w:sz w:val="32"/>
          <w:szCs w:val="32"/>
        </w:rPr>
        <w:t>专项支出</w:t>
      </w:r>
    </w:p>
    <w:p>
      <w:pPr>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项目支出决算数30335.38万元，占总支出的88.61%。主要是：党建专项、招商引资专项、经济运行专项、精准扶贫专项、蓝天保卫战专项、基础设施建设、规划修编支出、经济政策兑现奖励、防控化解债务支出等。园区成立了财务工作领导小组，制定了一系列的财务管理制度，在资金使用上一直按照国家财经法规和财务管理制度规定审批程序和手续。专项资金均专款专用，按照园区“三重一大”议事制度和报账程序进行资金预算、使用等管理工作。资金使用无截留、挤占、挪用、虚列支出等情况。</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三、部门专项组织实施情况</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本单位专项资金使用时均按相关要求、相关制度进行。园区专项资金使用前需申报资金计划，提交党工委会议集体研究决定，确保科学决策民主决策。</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四、资产管理情况</w:t>
      </w:r>
    </w:p>
    <w:p>
      <w:pPr>
        <w:adjustRightInd w:val="0"/>
        <w:snapToGrid w:val="0"/>
        <w:spacing w:line="580" w:lineRule="exact"/>
        <w:ind w:firstLine="643" w:firstLineChars="200"/>
        <w:rPr>
          <w:rFonts w:ascii="楷体_GB2312" w:hAnsi="华文楷体" w:eastAsia="楷体_GB2312" w:cs="华文楷体"/>
          <w:b/>
          <w:sz w:val="32"/>
          <w:szCs w:val="32"/>
        </w:rPr>
      </w:pPr>
      <w:r>
        <w:rPr>
          <w:rFonts w:hint="eastAsia" w:ascii="楷体_GB2312" w:hAnsi="华文楷体" w:eastAsia="楷体_GB2312" w:cs="华文楷体"/>
          <w:b/>
          <w:sz w:val="32"/>
          <w:szCs w:val="32"/>
        </w:rPr>
        <w:t>（一）基本情况</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截至2018年12月31日，我单位资产账面总额113.35元。固定资产账面总额101.35万元，无形资产12.0万元。2018年新增固定资产59.54万元、无形资产12.0万元。</w:t>
      </w:r>
    </w:p>
    <w:p>
      <w:pPr>
        <w:adjustRightInd w:val="0"/>
        <w:snapToGrid w:val="0"/>
        <w:spacing w:line="580" w:lineRule="exact"/>
        <w:ind w:firstLine="643" w:firstLineChars="200"/>
        <w:rPr>
          <w:rFonts w:ascii="楷体_GB2312" w:hAnsi="华文楷体" w:eastAsia="楷体_GB2312" w:cs="华文楷体"/>
          <w:b/>
          <w:sz w:val="32"/>
          <w:szCs w:val="32"/>
        </w:rPr>
      </w:pPr>
      <w:r>
        <w:rPr>
          <w:rFonts w:hint="eastAsia" w:ascii="楷体_GB2312" w:hAnsi="华文楷体" w:eastAsia="楷体_GB2312" w:cs="华文楷体"/>
          <w:b/>
          <w:sz w:val="32"/>
          <w:szCs w:val="32"/>
        </w:rPr>
        <w:t>（二）2018年，在资产管理工作上，我单位主要做了几个方面的工作：</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严格执行《长沙市行政事业单位资产管理实施办法》、《开福区行政事业单位通用资产配置标准》等相关制度，按要求配置、使用、处置资产。</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1、严格遵守资产处置管理规定。按规定对拟处置资产事项进行申报审批，及时更新资产信息和账务调整。</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2、严格遵守资产收入管理规定，按规定上缴资产处置收入。</w:t>
      </w:r>
    </w:p>
    <w:p>
      <w:pPr>
        <w:adjustRightInd w:val="0"/>
        <w:snapToGrid w:val="0"/>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五、部门整体支出绩效情况</w:t>
      </w:r>
    </w:p>
    <w:p>
      <w:pPr>
        <w:adjustRightInd w:val="0"/>
        <w:snapToGrid w:val="0"/>
        <w:spacing w:line="580" w:lineRule="exact"/>
        <w:ind w:firstLine="643" w:firstLineChars="200"/>
        <w:rPr>
          <w:rFonts w:ascii="楷体_GB2312" w:hAnsi="楷体" w:eastAsia="楷体_GB2312" w:cs="黑体"/>
          <w:b/>
          <w:sz w:val="32"/>
          <w:szCs w:val="32"/>
        </w:rPr>
      </w:pPr>
      <w:r>
        <w:rPr>
          <w:rFonts w:hint="eastAsia" w:ascii="楷体_GB2312" w:hAnsi="楷体" w:eastAsia="楷体_GB2312" w:cs="黑体"/>
          <w:b/>
          <w:sz w:val="32"/>
          <w:szCs w:val="32"/>
        </w:rPr>
        <w:t>（一）经济性分析</w:t>
      </w:r>
    </w:p>
    <w:p>
      <w:pPr>
        <w:adjustRightInd w:val="0"/>
        <w:snapToGrid w:val="0"/>
        <w:spacing w:line="58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1、预算控制分析</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2018年度财政批复年初部门预算</w:t>
      </w:r>
      <w:r>
        <w:rPr>
          <w:rFonts w:ascii="仿宋_GB2312" w:hAnsi="黑体" w:eastAsia="仿宋_GB2312" w:cs="黑体"/>
          <w:sz w:val="32"/>
          <w:szCs w:val="32"/>
        </w:rPr>
        <w:t>25000</w:t>
      </w:r>
      <w:r>
        <w:rPr>
          <w:rFonts w:hint="eastAsia" w:ascii="仿宋_GB2312" w:hAnsi="黑体" w:eastAsia="仿宋_GB2312" w:cs="黑体"/>
          <w:sz w:val="32"/>
          <w:szCs w:val="32"/>
        </w:rPr>
        <w:t>万元，年中追加预算1</w:t>
      </w:r>
      <w:r>
        <w:rPr>
          <w:rFonts w:ascii="仿宋_GB2312" w:hAnsi="黑体" w:eastAsia="仿宋_GB2312" w:cs="黑体"/>
          <w:sz w:val="32"/>
          <w:szCs w:val="32"/>
        </w:rPr>
        <w:t>2295.58</w:t>
      </w:r>
      <w:r>
        <w:rPr>
          <w:rFonts w:hint="eastAsia" w:ascii="仿宋_GB2312" w:hAnsi="黑体" w:eastAsia="仿宋_GB2312" w:cs="黑体"/>
          <w:sz w:val="32"/>
          <w:szCs w:val="32"/>
        </w:rPr>
        <w:t>万元，年末财政拨款结转结余3059.69万元；部门全年整体支出</w:t>
      </w:r>
      <w:r>
        <w:rPr>
          <w:rFonts w:ascii="仿宋_GB2312" w:hAnsi="黑体" w:eastAsia="仿宋_GB2312" w:cs="黑体"/>
          <w:sz w:val="32"/>
          <w:szCs w:val="32"/>
        </w:rPr>
        <w:t>34235.88</w:t>
      </w:r>
      <w:r>
        <w:rPr>
          <w:rFonts w:hint="eastAsia" w:ascii="仿宋_GB2312" w:hAnsi="黑体" w:eastAsia="仿宋_GB2312" w:cs="黑体"/>
          <w:sz w:val="32"/>
          <w:szCs w:val="32"/>
        </w:rPr>
        <w:t>万元。根据以上数据计算：预算完成率9</w:t>
      </w:r>
      <w:r>
        <w:rPr>
          <w:rFonts w:ascii="仿宋_GB2312" w:hAnsi="黑体" w:eastAsia="仿宋_GB2312" w:cs="黑体"/>
          <w:sz w:val="32"/>
          <w:szCs w:val="32"/>
        </w:rPr>
        <w:t>1.8</w:t>
      </w:r>
      <w:r>
        <w:rPr>
          <w:rFonts w:hint="eastAsia" w:ascii="仿宋_GB2312" w:hAnsi="黑体" w:eastAsia="仿宋_GB2312" w:cs="黑体"/>
          <w:sz w:val="32"/>
          <w:szCs w:val="32"/>
        </w:rPr>
        <w:t>%。</w:t>
      </w:r>
    </w:p>
    <w:p>
      <w:pPr>
        <w:adjustRightInd w:val="0"/>
        <w:snapToGrid w:val="0"/>
        <w:spacing w:line="580" w:lineRule="exact"/>
        <w:ind w:firstLine="643" w:firstLineChars="200"/>
        <w:rPr>
          <w:rFonts w:ascii="仿宋_GB2312" w:hAnsi="黑体" w:eastAsia="仿宋_GB2312" w:cs="黑体"/>
          <w:b/>
          <w:sz w:val="32"/>
          <w:szCs w:val="32"/>
        </w:rPr>
      </w:pPr>
      <w:r>
        <w:rPr>
          <w:rFonts w:hint="eastAsia" w:ascii="仿宋_GB2312" w:hAnsi="黑体" w:eastAsia="仿宋_GB2312" w:cs="黑体"/>
          <w:b/>
          <w:sz w:val="32"/>
          <w:szCs w:val="32"/>
        </w:rPr>
        <w:t>2、厉行节约情况</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2018年，园区严格控制成本，厉行节约，主要做法如下：</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一是严控会议费。严格控制各类会议及会期、规模、规格。</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二是节能降耗。本着“精打细算、勤俭节约、过紧日子”的原则，节约用电、节约用水、降低车耗、节约使用办公用品，杜绝各种损失浪费，控制了行政成本。</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三是规范其他办公性行政经费支出。园区严禁超预算或无预算安排支出，对任何超范围、超标准以及与公务活动无关的费用不予报销，严控培训费、办公设备购置费、差旅费等办公性行政经费开支。</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四是严格控制项目经费支出。项目经费使用严格遵守相关使用制度。</w:t>
      </w:r>
    </w:p>
    <w:p>
      <w:pPr>
        <w:adjustRightInd w:val="0"/>
        <w:snapToGrid w:val="0"/>
        <w:spacing w:line="580" w:lineRule="exact"/>
        <w:ind w:firstLine="643" w:firstLineChars="200"/>
        <w:rPr>
          <w:rFonts w:ascii="楷体_GB2312" w:hAnsi="黑体" w:eastAsia="楷体_GB2312" w:cs="黑体"/>
          <w:b/>
          <w:sz w:val="32"/>
          <w:szCs w:val="32"/>
        </w:rPr>
      </w:pPr>
      <w:r>
        <w:rPr>
          <w:rFonts w:hint="eastAsia" w:ascii="楷体_GB2312" w:hAnsi="黑体" w:eastAsia="楷体_GB2312" w:cs="黑体"/>
          <w:b/>
          <w:sz w:val="32"/>
          <w:szCs w:val="32"/>
        </w:rPr>
        <w:t>（二）效率性分析</w:t>
      </w:r>
    </w:p>
    <w:p>
      <w:pPr>
        <w:adjustRightInd w:val="0"/>
        <w:snapToGrid w:val="0"/>
        <w:spacing w:line="58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2018年，园区圆满完成了各项工作，并取得了丰硕成果：</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1、着力推动习近平新时代中国特色社会主义思想和党的十九大精神在金霞落地。</w:t>
      </w:r>
      <w:r>
        <w:rPr>
          <w:rFonts w:hint="eastAsia" w:ascii="仿宋_GB2312" w:hAnsi="仿宋" w:eastAsia="仿宋_GB2312" w:cs="仿宋"/>
          <w:color w:val="000000" w:themeColor="text1"/>
          <w:sz w:val="32"/>
          <w:szCs w:val="32"/>
          <w14:textFill>
            <w14:solidFill>
              <w14:schemeClr w14:val="tx1"/>
            </w14:solidFill>
          </w14:textFill>
        </w:rPr>
        <w:t>旗帜鲜明讲政治，牢固树立“四个意识”，始终坚持“四个自信”，完全做到“两个维护”。</w:t>
      </w:r>
      <w:r>
        <w:rPr>
          <w:rFonts w:hint="eastAsia" w:ascii="仿宋_GB2312" w:hAnsi="仿宋" w:eastAsia="仿宋_GB2312" w:cs="仿宋"/>
          <w:b/>
          <w:bCs/>
          <w:color w:val="000000" w:themeColor="text1"/>
          <w:sz w:val="32"/>
          <w:szCs w:val="32"/>
          <w14:textFill>
            <w14:solidFill>
              <w14:schemeClr w14:val="tx1"/>
            </w14:solidFill>
          </w14:textFill>
        </w:rPr>
        <w:t>一是持续用理论武装头脑</w:t>
      </w:r>
      <w:r>
        <w:rPr>
          <w:rFonts w:hint="eastAsia" w:ascii="仿宋_GB2312" w:hAnsi="仿宋" w:eastAsia="仿宋_GB2312" w:cs="仿宋"/>
          <w:color w:val="000000" w:themeColor="text1"/>
          <w:sz w:val="32"/>
          <w:szCs w:val="32"/>
          <w14:textFill>
            <w14:solidFill>
              <w14:schemeClr w14:val="tx1"/>
            </w14:solidFill>
          </w14:textFill>
        </w:rPr>
        <w:t>。做好规定动作，全年开展党工委中心组理论学习9次，书记讲党课2次，发放理论学习书籍2000余册，举办遵义强化班1期、非公“秋训”班3期。做好“自选动作”，党工委板子第一次单工位会的第一个议题即为重温和学习了习近平总书记的“四个意识”论述，新年的第一次党工委会议第一个议题即探究党建工作，策划并推送金霞微党课38期、微廉说（廉政教育）22期，在园区一楼电子屏滚动播放习近平总书记重要讲话，创新方法推动习近平新时代中国特色社会主义思想和党的十九大精神在园区 “天天见”“天天新”“天天深”。</w:t>
      </w:r>
      <w:r>
        <w:rPr>
          <w:rFonts w:hint="eastAsia" w:ascii="仿宋_GB2312" w:hAnsi="仿宋" w:eastAsia="仿宋_GB2312" w:cs="仿宋"/>
          <w:b/>
          <w:bCs/>
          <w:color w:val="000000" w:themeColor="text1"/>
          <w:sz w:val="32"/>
          <w:szCs w:val="32"/>
          <w14:textFill>
            <w14:solidFill>
              <w14:schemeClr w14:val="tx1"/>
            </w14:solidFill>
          </w14:textFill>
        </w:rPr>
        <w:t>二是持续用理论指导实践。</w:t>
      </w:r>
      <w:r>
        <w:rPr>
          <w:rFonts w:hint="eastAsia" w:ascii="仿宋_GB2312" w:hAnsi="仿宋" w:eastAsia="仿宋_GB2312" w:cs="仿宋"/>
          <w:color w:val="000000" w:themeColor="text1"/>
          <w:sz w:val="32"/>
          <w:szCs w:val="32"/>
          <w14:textFill>
            <w14:solidFill>
              <w14:schemeClr w14:val="tx1"/>
            </w14:solidFill>
          </w14:textFill>
        </w:rPr>
        <w:t>园区党工委、管委会践行新发展理念，整理优化了发展思路：园区将统筹集中一切资源和力量，全面聚焦“一体两翼”，即以智能物流装备制造业为主体，以开放型经济、智慧物流为两翼的产业格局。纲举目张，重点突破“三个转变”，即产业重心由发展流通型物流业为主向发展智能物流装备制造业为主转变，力促物流业的转型升级和产业链条延伸；项目规模由“满天星斗”（即中小项目）向“几轮明月”（即大项目）转变；绩效评价由注重产值向注重税收转变、由注重经济总量向注重亩均收益转变。稳步推进“四个升级”，即担当格局升级、产业链条升级、亩均效益升级、效率效能升级。旗帜鲜明地提出全力打造“一极三高地”，即长沙工业的新增长极，开放型经济新高地、制度创新新高地、高质量发展新高地，进一步展现金霞人的格局与担当。</w:t>
      </w:r>
    </w:p>
    <w:p>
      <w:pPr>
        <w:spacing w:line="580" w:lineRule="exact"/>
        <w:ind w:firstLine="640" w:firstLineChars="200"/>
        <w:rPr>
          <w:rFonts w:ascii="仿宋_GB2312" w:hAnsi="仿宋" w:eastAsia="仿宋_GB2312" w:cs="仿宋"/>
          <w:bCs/>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2、着力推动服务优化。</w:t>
      </w:r>
      <w:r>
        <w:rPr>
          <w:rFonts w:hint="eastAsia" w:ascii="仿宋_GB2312" w:hAnsi="仿宋" w:eastAsia="仿宋_GB2312" w:cs="仿宋"/>
          <w:color w:val="000000" w:themeColor="text1"/>
          <w:sz w:val="32"/>
          <w:szCs w:val="32"/>
          <w14:textFill>
            <w14:solidFill>
              <w14:schemeClr w14:val="tx1"/>
            </w14:solidFill>
          </w14:textFill>
        </w:rPr>
        <w:t>树立“以企业为中心”“以企业家为中心”的理念，将营商环境打造成金霞品牌。</w:t>
      </w:r>
      <w:r>
        <w:rPr>
          <w:rFonts w:hint="eastAsia" w:ascii="仿宋_GB2312" w:hAnsi="仿宋" w:eastAsia="仿宋_GB2312" w:cs="仿宋"/>
          <w:b/>
          <w:color w:val="000000" w:themeColor="text1"/>
          <w:sz w:val="32"/>
          <w:szCs w:val="32"/>
          <w14:textFill>
            <w14:solidFill>
              <w14:schemeClr w14:val="tx1"/>
            </w14:solidFill>
          </w14:textFill>
        </w:rPr>
        <w:t>一是力促“最多跑一次”改革落地，为项目加速</w:t>
      </w:r>
      <w:r>
        <w:rPr>
          <w:rFonts w:hint="eastAsia" w:ascii="仿宋_GB2312" w:hAnsi="仿宋" w:eastAsia="仿宋_GB2312" w:cs="仿宋"/>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制定《长沙金霞经济开发区“最多跑一次”实施方案》，完成政务服务中心改造升级。园区完成办件量 640件，其中“最多跑一次”469件（包含“不见面”46件），规划建设类共行政审批319项，审批环节减少31%，申报材料精简18%，办理时限比法定时限缩短73%。</w:t>
      </w:r>
      <w:r>
        <w:rPr>
          <w:rFonts w:hint="eastAsia" w:ascii="仿宋_GB2312" w:hAnsi="仿宋" w:eastAsia="仿宋_GB2312" w:cs="仿宋"/>
          <w:b/>
          <w:color w:val="000000" w:themeColor="text1"/>
          <w:sz w:val="32"/>
          <w:szCs w:val="32"/>
          <w14:textFill>
            <w14:solidFill>
              <w14:schemeClr w14:val="tx1"/>
            </w14:solidFill>
          </w14:textFill>
        </w:rPr>
        <w:t>二是力促企业发展中的实际问题解决，为项目加“油”。</w:t>
      </w:r>
      <w:r>
        <w:rPr>
          <w:rFonts w:hint="eastAsia" w:ascii="仿宋_GB2312" w:hAnsi="仿宋" w:eastAsia="仿宋_GB2312" w:cs="仿宋"/>
          <w:color w:val="000000" w:themeColor="text1"/>
          <w:sz w:val="32"/>
          <w:szCs w:val="32"/>
          <w14:textFill>
            <w14:solidFill>
              <w14:schemeClr w14:val="tx1"/>
            </w14:solidFill>
          </w14:textFill>
        </w:rPr>
        <w:t>共帮助企业解决难题300余个，先后举办2场劳动用工招聘会和1场中高及技术人才洽谈会，解决企业用工难。设立风险补偿基金、外贸出口退税资金池，探索供应链金融产品，搭建银企对接平台，解决企业融资难。开展“千人帮千企金霞在行动”，将上级好政策从“纸上”落到“地上”。</w:t>
      </w:r>
      <w:r>
        <w:rPr>
          <w:rFonts w:hint="eastAsia" w:ascii="仿宋_GB2312" w:hAnsi="仿宋" w:eastAsia="仿宋_GB2312" w:cs="仿宋"/>
          <w:b/>
          <w:color w:val="000000" w:themeColor="text1"/>
          <w:sz w:val="32"/>
          <w:szCs w:val="32"/>
          <w14:textFill>
            <w14:solidFill>
              <w14:schemeClr w14:val="tx1"/>
            </w14:solidFill>
          </w14:textFill>
        </w:rPr>
        <w:t>三是力促领导深入一线服务，为项目增效</w:t>
      </w:r>
      <w:r>
        <w:rPr>
          <w:rFonts w:hint="eastAsia" w:ascii="仿宋_GB2312" w:hAnsi="仿宋" w:eastAsia="仿宋_GB2312" w:cs="仿宋"/>
          <w:color w:val="000000" w:themeColor="text1"/>
          <w:sz w:val="32"/>
          <w:szCs w:val="32"/>
          <w14:textFill>
            <w14:solidFill>
              <w14:schemeClr w14:val="tx1"/>
            </w14:solidFill>
          </w14:textFill>
        </w:rPr>
        <w:t>。每周一晚上调度项目建设，每周二晚上调度招商项目。强化党政领导联点项目制，开展“产业兴园”评先、闲置土地“支帮促”活动，盘活启动闲置项目9个、1500亩。全力推动“地等项目”，共完成拆迁结算扫尾项目14个，大力推进军民融合产业园二期等8个项目，新启动中青路北延线等项目6个。</w:t>
      </w:r>
      <w:r>
        <w:rPr>
          <w:rFonts w:hint="eastAsia" w:ascii="仿宋_GB2312" w:hAnsi="仿宋" w:eastAsia="仿宋_GB2312" w:cs="仿宋"/>
          <w:b/>
          <w:color w:val="000000" w:themeColor="text1"/>
          <w:sz w:val="32"/>
          <w:szCs w:val="32"/>
          <w14:textFill>
            <w14:solidFill>
              <w14:schemeClr w14:val="tx1"/>
            </w14:solidFill>
          </w14:textFill>
        </w:rPr>
        <w:t>四是力促企业守住安全生产底线，为项目护航</w:t>
      </w:r>
      <w:r>
        <w:rPr>
          <w:rFonts w:hint="eastAsia" w:ascii="仿宋_GB2312" w:hAnsi="仿宋" w:eastAsia="仿宋_GB2312" w:cs="仿宋"/>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以“压实企业安全生产主体责任年”为主线，组织6批次共512人参加安全生产培训。开展专项检查和隐患排查100余次、有限空间作业和职业卫生专项整治29家次，对佳海工业园“三合一”现象进行隐患治理，2018年未发生任何安全事故。</w:t>
      </w:r>
    </w:p>
    <w:p>
      <w:pPr>
        <w:spacing w:line="58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3、着力推动党建和队伍建设。</w:t>
      </w:r>
      <w:r>
        <w:rPr>
          <w:rFonts w:hint="eastAsia" w:ascii="仿宋_GB2312" w:hAnsi="仿宋" w:eastAsia="仿宋_GB2312" w:cs="仿宋"/>
          <w:color w:val="000000" w:themeColor="text1"/>
          <w:sz w:val="32"/>
          <w:szCs w:val="32"/>
          <w14:textFill>
            <w14:solidFill>
              <w14:schemeClr w14:val="tx1"/>
            </w14:solidFill>
          </w14:textFill>
        </w:rPr>
        <w:t>始终把管党治党作为第一责任，注重加强党的建设和干部队伍建设，凝聚干事创业的正能量。</w:t>
      </w:r>
      <w:r>
        <w:rPr>
          <w:rFonts w:hint="eastAsia" w:ascii="仿宋_GB2312" w:hAnsi="仿宋" w:eastAsia="仿宋_GB2312" w:cs="仿宋"/>
          <w:b/>
          <w:color w:val="000000" w:themeColor="text1"/>
          <w:sz w:val="32"/>
          <w:szCs w:val="32"/>
          <w14:textFill>
            <w14:solidFill>
              <w14:schemeClr w14:val="tx1"/>
            </w14:solidFill>
          </w14:textFill>
        </w:rPr>
        <w:t>一是加强班子政治建设。</w:t>
      </w:r>
      <w:r>
        <w:rPr>
          <w:rFonts w:hint="eastAsia" w:ascii="仿宋_GB2312" w:hAnsi="仿宋" w:eastAsia="仿宋_GB2312" w:cs="仿宋"/>
          <w:color w:val="000000" w:themeColor="text1"/>
          <w:sz w:val="32"/>
          <w:szCs w:val="32"/>
          <w14:textFill>
            <w14:solidFill>
              <w14:schemeClr w14:val="tx1"/>
            </w14:solidFill>
          </w14:textFill>
        </w:rPr>
        <w:t>园区始终坚持把政治建设摆在首位，将学习贯彻落实习近平新时代中国特色社会主义思想和党的十九大精神作为首要政治任务，严格执行《2018年党建工作要点》，班子成员“四个意识”不断增强，以党建促发展的能力有所提升。</w:t>
      </w:r>
      <w:r>
        <w:rPr>
          <w:rFonts w:hint="eastAsia" w:ascii="仿宋_GB2312" w:hAnsi="仿宋" w:eastAsia="仿宋_GB2312" w:cs="仿宋"/>
          <w:b/>
          <w:color w:val="000000" w:themeColor="text1"/>
          <w:sz w:val="32"/>
          <w:szCs w:val="32"/>
          <w14:textFill>
            <w14:solidFill>
              <w14:schemeClr w14:val="tx1"/>
            </w14:solidFill>
          </w14:textFill>
        </w:rPr>
        <w:t>二是提升干部队伍素质。</w:t>
      </w:r>
      <w:r>
        <w:rPr>
          <w:rFonts w:hint="eastAsia" w:ascii="仿宋_GB2312" w:hAnsi="仿宋" w:eastAsia="仿宋_GB2312" w:cs="仿宋"/>
          <w:color w:val="000000" w:themeColor="text1"/>
          <w:sz w:val="32"/>
          <w:szCs w:val="32"/>
          <w14:textFill>
            <w14:solidFill>
              <w14:schemeClr w14:val="tx1"/>
            </w14:solidFill>
          </w14:textFill>
        </w:rPr>
        <w:t>开展“不忘初心跟党走，金霞奋斗新时代”主题党建活动，通过寻找初心（将每位党员第一份入党志愿书复印出来）、学习初心、领悟初心、守初心、践行初心等活动强化干部队伍的党建意识。把每年的12月份定位为园区的“不忘初心”月，党工委书记带头开展讲授《不忘初心</w:t>
      </w:r>
      <w:r>
        <w:rPr>
          <w:rFonts w:hint="eastAsia" w:ascii="仿宋_GB2312" w:hAnsi="仿宋" w:eastAsia="仿宋_GB2312" w:cs="仿宋"/>
          <w:color w:val="000000" w:themeColor="text1"/>
          <w:sz w:val="32"/>
          <w:szCs w:val="32"/>
          <w:lang w:eastAsia="zh-CN"/>
          <w14:textFill>
            <w14:solidFill>
              <w14:schemeClr w14:val="tx1"/>
            </w14:solidFill>
          </w14:textFill>
        </w:rPr>
        <w:t>、</w:t>
      </w:r>
      <w:bookmarkStart w:id="0" w:name="_GoBack"/>
      <w:bookmarkEnd w:id="0"/>
      <w:r>
        <w:rPr>
          <w:rFonts w:hint="eastAsia" w:ascii="仿宋_GB2312" w:hAnsi="仿宋" w:eastAsia="仿宋_GB2312" w:cs="仿宋"/>
          <w:color w:val="000000" w:themeColor="text1"/>
          <w:sz w:val="32"/>
          <w:szCs w:val="32"/>
          <w14:textFill>
            <w14:solidFill>
              <w14:schemeClr w14:val="tx1"/>
            </w14:solidFill>
          </w14:textFill>
        </w:rPr>
        <w:t>牢记使命 推动园区迈入高质量发展快车道》为题的党课。发动党员在“千人帮千企百日大行动”活动中打先锋，专门开展“青年金霞 意气风发”沙龙系列活动等，干部干事创业的精气神进一步提升。</w:t>
      </w:r>
      <w:r>
        <w:rPr>
          <w:rFonts w:hint="eastAsia" w:ascii="仿宋_GB2312" w:hAnsi="仿宋" w:eastAsia="仿宋_GB2312" w:cs="仿宋"/>
          <w:b/>
          <w:color w:val="000000" w:themeColor="text1"/>
          <w:sz w:val="32"/>
          <w:szCs w:val="32"/>
          <w14:textFill>
            <w14:solidFill>
              <w14:schemeClr w14:val="tx1"/>
            </w14:solidFill>
          </w14:textFill>
        </w:rPr>
        <w:t>三是牢守党风廉政底线。</w:t>
      </w:r>
      <w:r>
        <w:rPr>
          <w:rFonts w:hint="eastAsia" w:ascii="仿宋_GB2312" w:hAnsi="仿宋" w:eastAsia="仿宋_GB2312" w:cs="仿宋"/>
          <w:color w:val="000000" w:themeColor="text1"/>
          <w:sz w:val="32"/>
          <w:szCs w:val="32"/>
          <w14:textFill>
            <w14:solidFill>
              <w14:schemeClr w14:val="tx1"/>
            </w14:solidFill>
          </w14:textFill>
        </w:rPr>
        <w:t>园区党工委主要领导认真履行党风廉政建设第一责任人的政治职责，制定并下发《开发区2018年党风廉政建设主体责任和监督责任清单》，并与科级以上干部签订责任书。园区新班子到位后的第一次党工委会议即将党风廉政建设作为重要议题，通过领导示范、以上率下，强化教育引导，狠抓制度建设，突出纪律约束，干部作风不断改进、形象进一步提升。</w:t>
      </w:r>
    </w:p>
    <w:p>
      <w:pPr>
        <w:pStyle w:val="11"/>
        <w:spacing w:line="580" w:lineRule="exact"/>
        <w:ind w:firstLine="64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4、着力推动上级决策部署落实</w:t>
      </w:r>
      <w:r>
        <w:rPr>
          <w:rFonts w:hint="eastAsia" w:ascii="仿宋_GB2312" w:hAnsi="仿宋" w:eastAsia="仿宋_GB2312" w:cs="仿宋"/>
          <w:b/>
          <w:bCs/>
          <w:color w:val="000000" w:themeColor="text1"/>
          <w:sz w:val="32"/>
          <w:szCs w:val="32"/>
          <w14:textFill>
            <w14:solidFill>
              <w14:schemeClr w14:val="tx1"/>
            </w14:solidFill>
          </w14:textFill>
        </w:rPr>
        <w:t>。</w:t>
      </w:r>
      <w:r>
        <w:rPr>
          <w:rFonts w:hint="eastAsia" w:ascii="仿宋_GB2312" w:hAnsi="仿宋" w:eastAsia="仿宋_GB2312" w:cs="仿宋"/>
          <w:color w:val="000000" w:themeColor="text1"/>
          <w:sz w:val="32"/>
          <w:szCs w:val="32"/>
          <w14:textFill>
            <w14:solidFill>
              <w14:schemeClr w14:val="tx1"/>
            </w14:solidFill>
          </w14:textFill>
        </w:rPr>
        <w:t>全力以赴打好三大攻坚战。</w:t>
      </w:r>
      <w:r>
        <w:rPr>
          <w:rFonts w:hint="eastAsia" w:ascii="仿宋_GB2312" w:hAnsi="仿宋" w:eastAsia="仿宋_GB2312" w:cs="仿宋"/>
          <w:b/>
          <w:color w:val="000000" w:themeColor="text1"/>
          <w:sz w:val="32"/>
          <w:szCs w:val="32"/>
          <w14:textFill>
            <w14:solidFill>
              <w14:schemeClr w14:val="tx1"/>
            </w14:solidFill>
          </w14:textFill>
        </w:rPr>
        <w:t>一是污染防治方面</w:t>
      </w:r>
      <w:r>
        <w:rPr>
          <w:rFonts w:hint="eastAsia" w:ascii="仿宋_GB2312" w:hAnsi="仿宋" w:eastAsia="仿宋_GB2312" w:cs="仿宋"/>
          <w:color w:val="000000" w:themeColor="text1"/>
          <w:sz w:val="32"/>
          <w:szCs w:val="32"/>
          <w14:textFill>
            <w14:solidFill>
              <w14:schemeClr w14:val="tx1"/>
            </w14:solidFill>
          </w14:textFill>
        </w:rPr>
        <w:t>，共完成执法143次，日常检查80次，现场调研25次，协助处罚企业5家，拆除黑洗砂厂2个，绿网覆盖195万</w:t>
      </w:r>
      <w:r>
        <w:rPr>
          <w:rFonts w:hint="eastAsia" w:ascii="Batang" w:hAnsi="Batang" w:eastAsia="Batang" w:cs="Batang"/>
          <w:color w:val="000000" w:themeColor="text1"/>
          <w:sz w:val="32"/>
          <w:szCs w:val="32"/>
          <w14:textFill>
            <w14:solidFill>
              <w14:schemeClr w14:val="tx1"/>
            </w14:solidFill>
          </w14:textFill>
        </w:rPr>
        <w:t>㎡</w:t>
      </w:r>
      <w:r>
        <w:rPr>
          <w:rFonts w:hint="eastAsia" w:ascii="仿宋_GB2312" w:hAnsi="仿宋_GB2312" w:eastAsia="仿宋_GB2312"/>
          <w:color w:val="000000" w:themeColor="text1"/>
          <w:sz w:val="32"/>
          <w:szCs w:val="32"/>
          <w14:textFill>
            <w14:solidFill>
              <w14:schemeClr w14:val="tx1"/>
            </w14:solidFill>
          </w14:textFill>
        </w:rPr>
        <w:t>。</w:t>
      </w:r>
      <w:r>
        <w:rPr>
          <w:rFonts w:hint="eastAsia" w:ascii="仿宋_GB2312" w:hAnsi="仿宋" w:eastAsia="仿宋_GB2312" w:cs="仿宋"/>
          <w:b/>
          <w:color w:val="000000" w:themeColor="text1"/>
          <w:sz w:val="32"/>
          <w:szCs w:val="32"/>
          <w14:textFill>
            <w14:solidFill>
              <w14:schemeClr w14:val="tx1"/>
            </w14:solidFill>
          </w14:textFill>
        </w:rPr>
        <w:t>二是防范化解重大风险方面</w:t>
      </w:r>
      <w:r>
        <w:rPr>
          <w:rFonts w:hint="eastAsia" w:ascii="仿宋_GB2312" w:hAnsi="仿宋" w:eastAsia="仿宋_GB2312" w:cs="仿宋"/>
          <w:color w:val="000000" w:themeColor="text1"/>
          <w:sz w:val="32"/>
          <w:szCs w:val="32"/>
          <w14:textFill>
            <w14:solidFill>
              <w14:schemeClr w14:val="tx1"/>
            </w14:solidFill>
          </w14:textFill>
        </w:rPr>
        <w:t>，通过制定融资工作三年行动计划等举措，拓宽融资渠道，在有序推进政府性化债工作的基础上保证园区资金链安全，成本可控。</w:t>
      </w:r>
      <w:r>
        <w:rPr>
          <w:rFonts w:hint="eastAsia" w:ascii="仿宋_GB2312" w:hAnsi="仿宋" w:eastAsia="仿宋_GB2312" w:cs="仿宋"/>
          <w:b/>
          <w:color w:val="000000" w:themeColor="text1"/>
          <w:sz w:val="32"/>
          <w:szCs w:val="32"/>
          <w14:textFill>
            <w14:solidFill>
              <w14:schemeClr w14:val="tx1"/>
            </w14:solidFill>
          </w14:textFill>
        </w:rPr>
        <w:t>三是精准扶贫方面</w:t>
      </w:r>
      <w:r>
        <w:rPr>
          <w:rFonts w:hint="eastAsia" w:ascii="仿宋_GB2312" w:hAnsi="仿宋" w:eastAsia="仿宋_GB2312" w:cs="仿宋"/>
          <w:color w:val="000000" w:themeColor="text1"/>
          <w:sz w:val="32"/>
          <w:szCs w:val="32"/>
          <w14:textFill>
            <w14:solidFill>
              <w14:schemeClr w14:val="tx1"/>
            </w14:solidFill>
          </w14:textFill>
        </w:rPr>
        <w:t>，定期到龙山县茨岩塘镇、宁乡流沙河镇鸿富村看望关心扶贫对象、宣传讲解扶贫政策、及时拨付工作经费。</w:t>
      </w:r>
    </w:p>
    <w:p>
      <w:pPr>
        <w:adjustRightInd w:val="0"/>
        <w:snapToGrid w:val="0"/>
        <w:spacing w:line="580" w:lineRule="exact"/>
        <w:ind w:firstLine="643" w:firstLineChars="200"/>
        <w:rPr>
          <w:rFonts w:ascii="楷体_GB2312" w:hAnsi="仿宋" w:eastAsia="楷体_GB2312" w:cs="仿宋"/>
          <w:b/>
          <w:sz w:val="32"/>
          <w:szCs w:val="32"/>
        </w:rPr>
      </w:pPr>
      <w:r>
        <w:rPr>
          <w:rFonts w:hint="eastAsia" w:ascii="楷体_GB2312" w:hAnsi="仿宋" w:eastAsia="楷体_GB2312" w:cs="仿宋"/>
          <w:b/>
          <w:sz w:val="32"/>
          <w:szCs w:val="32"/>
        </w:rPr>
        <w:t>（三）有效性分析</w:t>
      </w:r>
    </w:p>
    <w:p>
      <w:pPr>
        <w:adjustRightInd w:val="0"/>
        <w:snapToGrid w:val="0"/>
        <w:spacing w:line="5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2018年我们深入贯彻落实中央和省、市、区决策部署，面对外部环境复杂严峻的局面，加快推进“建设大城北，进位国家级”，圆满地完成了全年目标任务，并取得了卓越成效：</w:t>
      </w:r>
    </w:p>
    <w:p>
      <w:pPr>
        <w:adjustRightInd w:val="0"/>
        <w:snapToGrid w:val="0"/>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bCs/>
          <w:color w:val="000000" w:themeColor="text1"/>
          <w:sz w:val="32"/>
          <w:szCs w:val="32"/>
          <w14:textFill>
            <w14:solidFill>
              <w14:schemeClr w14:val="tx1"/>
            </w14:solidFill>
          </w14:textFill>
        </w:rPr>
        <w:t>1、</w:t>
      </w:r>
      <w:r>
        <w:rPr>
          <w:rFonts w:hint="eastAsia" w:ascii="仿宋_GB2312" w:hAnsi="仿宋" w:eastAsia="仿宋_GB2312" w:cs="仿宋"/>
          <w:color w:val="000000" w:themeColor="text1"/>
          <w:sz w:val="32"/>
          <w:szCs w:val="32"/>
          <w14:textFill>
            <w14:solidFill>
              <w14:schemeClr w14:val="tx1"/>
            </w14:solidFill>
          </w14:textFill>
        </w:rPr>
        <w:t>2018年完成税收22.46亿元，同比增长31.96%；固定资产投资234.35亿元，同比增长22.7%；规模工业总产值（含物流）537.65亿元，同比增长12.4%；规模工业增加值（含物流）133.13亿元，同比增长12.1%；进出口贸易额9.88亿美元，完成市级任务的167.4%，园区经济指标实现高位增长。物流业完成营业收入429.14亿元，同比增长14.98%；2018年装配式建筑完成产值29.48亿元，同比增长9.2%；“一主一特”产业营业收入386.08亿元，占园区规模以上企业总产值的比重达75.63%，园区产业集聚效应凸显。</w:t>
      </w:r>
    </w:p>
    <w:p>
      <w:pPr>
        <w:spacing w:line="580" w:lineRule="exact"/>
        <w:ind w:firstLine="640" w:firstLineChars="200"/>
        <w:rPr>
          <w:rFonts w:ascii="仿宋_GB2312" w:hAnsi="仿宋" w:eastAsia="仿宋_GB2312" w:cs="仿宋"/>
          <w:color w:val="000000" w:themeColor="text1"/>
          <w:sz w:val="32"/>
          <w:szCs w:val="32"/>
          <w14:textFill>
            <w14:solidFill>
              <w14:schemeClr w14:val="tx1"/>
            </w14:solidFill>
          </w14:textFill>
        </w:rPr>
      </w:pPr>
      <w:r>
        <w:rPr>
          <w:rFonts w:hint="eastAsia" w:ascii="仿宋_GB2312" w:hAnsi="仿宋" w:eastAsia="仿宋_GB2312" w:cs="仿宋"/>
          <w:sz w:val="32"/>
          <w:szCs w:val="32"/>
        </w:rPr>
        <w:t>2、</w:t>
      </w:r>
      <w:r>
        <w:rPr>
          <w:rFonts w:hint="eastAsia" w:ascii="仿宋_GB2312" w:hAnsi="仿宋" w:eastAsia="仿宋_GB2312" w:cs="仿宋"/>
          <w:color w:val="000000" w:themeColor="text1"/>
          <w:sz w:val="32"/>
          <w:szCs w:val="32"/>
          <w14:textFill>
            <w14:solidFill>
              <w14:schemeClr w14:val="tx1"/>
            </w14:solidFill>
          </w14:textFill>
        </w:rPr>
        <w:t>全年签约项目45个，累计投资额约102.5亿元，一“主”一“特”项目22个，装配式建筑项目10个，新增总供地面积1076亩，新增标准厂房面积约12万</w:t>
      </w:r>
      <w:r>
        <w:rPr>
          <w:rFonts w:hint="eastAsia" w:ascii="Batang" w:hAnsi="Batang" w:eastAsia="Batang" w:cs="Batang"/>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。其中，瑞康（湖南）医疗大健康产业基地总投资约</w:t>
      </w:r>
      <w:r>
        <w:rPr>
          <w:rFonts w:hint="eastAsia" w:ascii="仿宋_GB2312" w:hAnsi="仿宋" w:eastAsia="仿宋_GB2312" w:cs="仿宋"/>
          <w:color w:val="000000" w:themeColor="text1"/>
          <w:sz w:val="32"/>
          <w:szCs w:val="32"/>
          <w14:textFill>
            <w14:solidFill>
              <w14:schemeClr w14:val="tx1"/>
            </w14:solidFill>
          </w14:textFill>
        </w:rPr>
        <w:t>10亿元，主要建设高端医疗器械生产基地。平台招商成效显著，长沙国际铁路港引进中车株洲电力机车有限公司等项目5个。海外人士外贸产业基地全年引进29个国家29家企业入驻，实现外贸破零企业3家。长沙传化智能公路港入驻企业160家，出租率达90%。卓尔军民融合产业示范园新入驻海擎智能等高新技术企业12家，基本实现满园。新开工重点产业项目24个，建成项目13个。其中，长沙国际铁路港海关监管区、长沙新港全省首个汽车滚装码头建设加速，传化智能公路港正式运营，香江·红星家居建材博览中心实现试营业，老百姓大药房物流枢纽与电商基地和军民融合科技城多层厂房实现封顶，人才公寓建设进度比原计划提前4个月、比原计划多建60套。城市驿站、大明污水截污工程、红星美凯龙10KV线路、佳海排水工程、福晟MALL（社区商业网点）、沙坪实验小学等投入使用，霞凝路（彩霞路-湘捞路）、广胜路、冯蔡东路等完成建设。公交线路新开通4条，通车道路基本实现公交全覆盖。</w:t>
      </w:r>
    </w:p>
    <w:p>
      <w:pPr>
        <w:tabs>
          <w:tab w:val="center" w:pos="4153"/>
        </w:tabs>
        <w:spacing w:line="580" w:lineRule="exact"/>
        <w:ind w:firstLine="482" w:firstLineChars="150"/>
        <w:rPr>
          <w:rFonts w:ascii="楷体_GB2312" w:hAnsi="宋体" w:eastAsia="楷体_GB2312"/>
          <w:b/>
          <w:sz w:val="32"/>
          <w:szCs w:val="32"/>
        </w:rPr>
      </w:pPr>
      <w:r>
        <w:rPr>
          <w:rFonts w:hint="eastAsia" w:ascii="楷体_GB2312" w:hAnsi="宋体" w:eastAsia="楷体_GB2312"/>
          <w:b/>
          <w:sz w:val="32"/>
          <w:szCs w:val="32"/>
        </w:rPr>
        <w:t>（四）可持续性分析</w:t>
      </w:r>
      <w:r>
        <w:rPr>
          <w:rFonts w:hint="eastAsia" w:ascii="楷体_GB2312" w:hAnsi="宋体" w:eastAsia="楷体_GB2312"/>
          <w:b/>
          <w:sz w:val="32"/>
          <w:szCs w:val="32"/>
        </w:rPr>
        <w:tab/>
      </w:r>
    </w:p>
    <w:p>
      <w:pPr>
        <w:tabs>
          <w:tab w:val="center" w:pos="4153"/>
        </w:tabs>
        <w:spacing w:line="580" w:lineRule="exact"/>
        <w:ind w:firstLine="480" w:firstLineChars="150"/>
        <w:rPr>
          <w:rFonts w:ascii="仿宋_GB2312" w:hAnsi="宋体" w:eastAsia="仿宋_GB2312"/>
          <w:bCs/>
          <w:sz w:val="32"/>
          <w:szCs w:val="32"/>
        </w:rPr>
      </w:pPr>
      <w:r>
        <w:rPr>
          <w:rFonts w:hint="eastAsia" w:ascii="仿宋_GB2312" w:hAnsi="宋体" w:eastAsia="仿宋_GB2312"/>
          <w:bCs/>
          <w:sz w:val="32"/>
          <w:szCs w:val="32"/>
        </w:rPr>
        <w:t>长沙金霞经济开发区致力打造湖南省唯一集水路、公路、铁路、管道“四元化”交通于一体的示范园区。开展“千人帮千企”活动，牵头联系金融服务进园区，力推“政、银、企”良性互动。园区结对帮扶龙山县，确保茨岩塘镇实现脱贫摘帽,确保财政资金使用效率和绩效，切实改善提高人民的生产生活环境。</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六、存在的主要问题</w:t>
      </w:r>
    </w:p>
    <w:p>
      <w:pPr>
        <w:adjustRightInd w:val="0"/>
        <w:snapToGrid w:val="0"/>
        <w:spacing w:line="58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2018年度园区各项经费支出工作有序开展，预算编制工作有待进一步细化、预算执行进度较慢，应当根据当年财政状况、上年收支、预算部门自身的实际和业务进行编制，细化到更加具体支出项目，同时提升预算执行率。</w:t>
      </w:r>
    </w:p>
    <w:p>
      <w:pPr>
        <w:adjustRightInd w:val="0"/>
        <w:snapToGrid w:val="0"/>
        <w:spacing w:line="580" w:lineRule="exact"/>
        <w:ind w:firstLine="640" w:firstLineChars="200"/>
        <w:rPr>
          <w:rFonts w:ascii="仿宋_GB2312" w:hAnsi="宋体" w:eastAsia="仿宋_GB2312"/>
          <w:bCs/>
          <w:sz w:val="32"/>
          <w:szCs w:val="32"/>
        </w:rPr>
      </w:pPr>
      <w:r>
        <w:rPr>
          <w:rFonts w:hint="eastAsia" w:ascii="黑体" w:hAnsi="黑体" w:eastAsia="黑体" w:cs="黑体"/>
          <w:sz w:val="32"/>
          <w:szCs w:val="32"/>
        </w:rPr>
        <w:t>七、改进措施和有关建议</w:t>
      </w:r>
    </w:p>
    <w:p>
      <w:pPr>
        <w:pStyle w:val="5"/>
        <w:shd w:val="clear" w:color="auto" w:fill="FFFFFF"/>
        <w:spacing w:before="0" w:beforeAutospacing="0" w:after="0" w:afterAutospacing="0" w:line="580" w:lineRule="exact"/>
        <w:ind w:left="191" w:leftChars="91"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1、细化预算编制工作，认真做好预算的编制。进一步加强单位内部机构的预算管理意识，严格按照预算编制的相关制度和要求，公用经费根据单位的年度工作重点和项目专项工作规划，本着“勤俭节约、保障运转”的原则进行预算编制；编制范围尽可能</w:t>
      </w:r>
      <w:r>
        <w:rPr>
          <w:rFonts w:hint="eastAsia" w:ascii="仿宋_GB2312" w:hAnsi="仿宋" w:eastAsia="仿宋_GB2312" w:cs="仿宋"/>
          <w:kern w:val="2"/>
          <w:sz w:val="32"/>
          <w:szCs w:val="32"/>
          <w:lang w:val="en-US" w:eastAsia="zh-CN"/>
        </w:rPr>
        <w:t>地</w:t>
      </w:r>
      <w:r>
        <w:rPr>
          <w:rFonts w:hint="eastAsia" w:ascii="仿宋_GB2312" w:hAnsi="仿宋" w:eastAsia="仿宋_GB2312" w:cs="仿宋"/>
          <w:kern w:val="2"/>
          <w:sz w:val="32"/>
          <w:szCs w:val="32"/>
        </w:rPr>
        <w:t>全面，不漏项；在预算编制时首先需满足固定性的、相对刚性的费用支出项目，尽量压缩变动性的、有控制空间的费用项目；杜绝预算编制粗放、拍脑袋现象的发生，进一步提高预算编制的科学性、合理性、严谨性和可控性。</w:t>
      </w:r>
    </w:p>
    <w:p>
      <w:pPr>
        <w:pStyle w:val="5"/>
        <w:shd w:val="clear" w:color="auto" w:fill="FFFFFF"/>
        <w:spacing w:before="0" w:beforeAutospacing="0" w:after="0" w:afterAutospacing="0" w:line="580" w:lineRule="exact"/>
        <w:ind w:left="191" w:leftChars="91"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2、加强财务管理，严格财务审核。在费用报账时，按照预算规定的费用项目和用途进行资金使用的审核，严格按照费用的使用用途列报，同时严格费用支出内容进行财务核算，预算金额内严格控制费用的支出，杜绝超支现象的发生。</w:t>
      </w:r>
    </w:p>
    <w:p>
      <w:pPr>
        <w:pStyle w:val="5"/>
        <w:shd w:val="clear" w:color="auto" w:fill="FFFFFF"/>
        <w:spacing w:before="0" w:beforeAutospacing="0" w:after="0" w:afterAutospacing="0" w:line="58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3、遵循预算管理原则。按照程序预算调整追加，逐级申报；结余资金调整用途的按照预算调整追加程序逐级申报报批，做到资金支付、预算先行，确保资金使用按照预算项目和使用用途执行，杜绝费用项目之间调剂使用现象的发生。</w:t>
      </w:r>
    </w:p>
    <w:p>
      <w:pPr>
        <w:pStyle w:val="5"/>
        <w:shd w:val="clear" w:color="auto" w:fill="FFFFFF"/>
        <w:spacing w:before="0" w:beforeAutospacing="0" w:after="0" w:afterAutospacing="0" w:line="580" w:lineRule="exact"/>
        <w:ind w:firstLine="640" w:firstLineChars="200"/>
        <w:jc w:val="both"/>
        <w:rPr>
          <w:rFonts w:ascii="仿宋_GB2312" w:hAnsi="仿宋" w:eastAsia="仿宋_GB2312" w:cs="仿宋"/>
          <w:kern w:val="2"/>
          <w:sz w:val="32"/>
          <w:szCs w:val="32"/>
        </w:rPr>
      </w:pPr>
      <w:r>
        <w:rPr>
          <w:rFonts w:hint="eastAsia" w:ascii="仿宋_GB2312" w:hAnsi="仿宋" w:eastAsia="仿宋_GB2312" w:cs="仿宋"/>
          <w:kern w:val="2"/>
          <w:sz w:val="32"/>
          <w:szCs w:val="32"/>
        </w:rPr>
        <w:t>4、进一步严控“三公经费”支出，严控“三公经费”的规模和比例及“三公经费”支出的审核审批流程，杜绝挪用和挤占其他预算资金行为；进一步细化“三公经费”的管理。</w:t>
      </w:r>
    </w:p>
    <w:p>
      <w:pPr>
        <w:adjustRightInd w:val="0"/>
        <w:snapToGrid w:val="0"/>
        <w:spacing w:line="560" w:lineRule="exact"/>
        <w:ind w:firstLine="640" w:firstLineChars="200"/>
        <w:jc w:val="right"/>
        <w:rPr>
          <w:rFonts w:ascii="仿宋_GB2312" w:eastAsia="仿宋_GB2312"/>
          <w:sz w:val="32"/>
          <w:szCs w:val="32"/>
        </w:rPr>
      </w:pPr>
    </w:p>
    <w:p>
      <w:pPr>
        <w:adjustRightInd w:val="0"/>
        <w:snapToGrid w:val="0"/>
        <w:spacing w:line="560" w:lineRule="exact"/>
        <w:ind w:firstLine="640" w:firstLineChars="200"/>
        <w:jc w:val="right"/>
        <w:rPr>
          <w:rFonts w:ascii="仿宋_GB2312" w:eastAsia="仿宋_GB2312"/>
          <w:sz w:val="32"/>
          <w:szCs w:val="32"/>
        </w:rPr>
      </w:pPr>
    </w:p>
    <w:p>
      <w:pPr>
        <w:wordWrap w:val="0"/>
        <w:adjustRightInd w:val="0"/>
        <w:snapToGrid w:val="0"/>
        <w:spacing w:line="560" w:lineRule="exact"/>
        <w:ind w:firstLine="640" w:firstLineChars="200"/>
        <w:jc w:val="right"/>
        <w:rPr>
          <w:rFonts w:ascii="仿宋_GB2312" w:eastAsia="仿宋_GB2312"/>
        </w:rPr>
      </w:pPr>
      <w:r>
        <w:rPr>
          <w:rFonts w:hint="eastAsia" w:ascii="仿宋_GB2312" w:eastAsia="仿宋_GB2312"/>
          <w:sz w:val="32"/>
          <w:szCs w:val="32"/>
        </w:rPr>
        <w:t xml:space="preserve">  </w:t>
      </w:r>
    </w:p>
    <w:p>
      <w:pPr>
        <w:rPr>
          <w:rFonts w:ascii="仿宋_GB2312" w:eastAsia="仿宋_GB231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Batang">
    <w:altName w:val="Adobe Myungjo Std M"/>
    <w:panose1 w:val="02030600000101010101"/>
    <w:charset w:val="81"/>
    <w:family w:val="roman"/>
    <w:pitch w:val="default"/>
    <w:sig w:usb0="00000000" w:usb1="00000000" w:usb2="00000030" w:usb3="00000000" w:csb0="0008009F" w:csb1="00000000"/>
  </w:font>
  <w:font w:name="Adobe Myungjo Std M">
    <w:panose1 w:val="02020600000000000000"/>
    <w:charset w:val="80"/>
    <w:family w:val="auto"/>
    <w:pitch w:val="default"/>
    <w:sig w:usb0="00000001" w:usb1="21D72C10" w:usb2="00000010" w:usb3="00000000" w:csb0="602A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30075089"/>
    </w:sdtPr>
    <w:sdtEndPr>
      <w:rPr>
        <w:sz w:val="28"/>
        <w:szCs w:val="28"/>
      </w:rPr>
    </w:sdtEndPr>
    <w:sdt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009"/>
    <w:rsid w:val="0005273A"/>
    <w:rsid w:val="00080D68"/>
    <w:rsid w:val="00084213"/>
    <w:rsid w:val="000C534D"/>
    <w:rsid w:val="000E58D6"/>
    <w:rsid w:val="000F498C"/>
    <w:rsid w:val="001C5E98"/>
    <w:rsid w:val="001D15E3"/>
    <w:rsid w:val="00267543"/>
    <w:rsid w:val="00295A0A"/>
    <w:rsid w:val="003873EC"/>
    <w:rsid w:val="00407847"/>
    <w:rsid w:val="00414E9C"/>
    <w:rsid w:val="0047345D"/>
    <w:rsid w:val="004916C2"/>
    <w:rsid w:val="004C7D9D"/>
    <w:rsid w:val="0050170E"/>
    <w:rsid w:val="00506E2E"/>
    <w:rsid w:val="00545625"/>
    <w:rsid w:val="006041FB"/>
    <w:rsid w:val="00605108"/>
    <w:rsid w:val="00611E19"/>
    <w:rsid w:val="00667133"/>
    <w:rsid w:val="00682EA1"/>
    <w:rsid w:val="00691AB9"/>
    <w:rsid w:val="006D06B1"/>
    <w:rsid w:val="007B1656"/>
    <w:rsid w:val="00807F74"/>
    <w:rsid w:val="008925A8"/>
    <w:rsid w:val="008D3334"/>
    <w:rsid w:val="00910009"/>
    <w:rsid w:val="00913D39"/>
    <w:rsid w:val="009403AE"/>
    <w:rsid w:val="009866C3"/>
    <w:rsid w:val="009B15C6"/>
    <w:rsid w:val="009C038B"/>
    <w:rsid w:val="009F3EA2"/>
    <w:rsid w:val="00A0427B"/>
    <w:rsid w:val="00A07741"/>
    <w:rsid w:val="00A10FA4"/>
    <w:rsid w:val="00A16FD2"/>
    <w:rsid w:val="00A7298D"/>
    <w:rsid w:val="00B361E9"/>
    <w:rsid w:val="00BB35D0"/>
    <w:rsid w:val="00C0753A"/>
    <w:rsid w:val="00C90AFD"/>
    <w:rsid w:val="00CB236F"/>
    <w:rsid w:val="00CE3E8E"/>
    <w:rsid w:val="00D65C3F"/>
    <w:rsid w:val="00D81010"/>
    <w:rsid w:val="00DE0078"/>
    <w:rsid w:val="00DE0D7D"/>
    <w:rsid w:val="00E04181"/>
    <w:rsid w:val="00E11700"/>
    <w:rsid w:val="00E44B4D"/>
    <w:rsid w:val="00E87E3D"/>
    <w:rsid w:val="00E9563D"/>
    <w:rsid w:val="00F831B4"/>
    <w:rsid w:val="00F84886"/>
    <w:rsid w:val="00F9309D"/>
    <w:rsid w:val="07AA067A"/>
    <w:rsid w:val="0C332E45"/>
    <w:rsid w:val="20F853FE"/>
    <w:rsid w:val="26653642"/>
    <w:rsid w:val="2CB430DD"/>
    <w:rsid w:val="2FD84F33"/>
    <w:rsid w:val="40E30DD0"/>
    <w:rsid w:val="52DF09A4"/>
  </w:rsids>
  <m:mathPr>
    <m:mathFont m:val="Cambria Math"/>
    <m:brkBin m:val="before"/>
    <m:brkBinSub m:val="--"/>
    <m:smallFrac m:val="0"/>
    <m:dispDef/>
    <m:lMargin m:val="0"/>
    <m:rMargin m:val="0"/>
    <m:defJc m:val="centerGroup"/>
    <m:wrapIndent m:val="1440"/>
    <m:intLim m:val="subSup"/>
    <m:naryLim m:val="undOvr"/>
  </m:mathPr>
  <w:themeFontLang w:val="en-US" w:eastAsia="zh-CN" w:bidi="or-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正  文"/>
    <w:basedOn w:val="1"/>
    <w:next w:val="1"/>
    <w:qFormat/>
    <w:uiPriority w:val="0"/>
    <w:pPr>
      <w:spacing w:line="360" w:lineRule="auto"/>
      <w:ind w:firstLine="560" w:firstLineChars="200"/>
    </w:pPr>
    <w:rPr>
      <w:rFonts w:ascii="宋体" w:hAnsi="宋体" w:cs="仿宋_GB2312"/>
      <w:sz w:val="24"/>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916</Words>
  <Characters>5227</Characters>
  <Lines>43</Lines>
  <Paragraphs>12</Paragraphs>
  <TotalTime>276</TotalTime>
  <ScaleCrop>false</ScaleCrop>
  <LinksUpToDate>false</LinksUpToDate>
  <CharactersWithSpaces>6131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2019-10-27T16:13:00Z</dcterms:created>
  <dc:creator>超级管理员</dc:creator>
  <cp:lastModifiedBy>王德娟</cp:lastModifiedBy>
  <cp:lastPrinted>2019-10-29T09:54:00Z</cp:lastPrinted>
  <dcterms:modified xsi:type="dcterms:W3CDTF">2022-03-11T06:41:36Z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FC10600EA3C9488F82E0DB6B58F862D3</vt:lpwstr>
  </property>
</Properties>
</file>