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jc w:val="center"/>
        <w:textAlignment w:val="auto"/>
        <w:rPr>
          <w:rFonts w:hint="eastAsia" w:ascii="黑体" w:hAnsi="黑体" w:eastAsia="黑体" w:cs="黑体"/>
          <w:i w:val="0"/>
          <w:iCs w:val="0"/>
          <w:caps w:val="0"/>
          <w:color w:val="auto"/>
          <w:spacing w:val="0"/>
          <w:sz w:val="48"/>
          <w:szCs w:val="48"/>
        </w:rPr>
      </w:pPr>
      <w:bookmarkStart w:id="0" w:name="_GoBack"/>
      <w:bookmarkEnd w:id="0"/>
      <w:r>
        <w:rPr>
          <w:rFonts w:hint="eastAsia" w:ascii="黑体" w:hAnsi="黑体" w:eastAsia="黑体" w:cs="黑体"/>
          <w:i w:val="0"/>
          <w:iCs w:val="0"/>
          <w:caps w:val="0"/>
          <w:color w:val="auto"/>
          <w:spacing w:val="0"/>
          <w:sz w:val="48"/>
          <w:szCs w:val="48"/>
          <w:shd w:val="clear" w:fill="FFFFFF"/>
        </w:rPr>
        <w:t>2020年中国共产主义青年团长沙市开福区委员会部门决算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2" w:firstLineChars="200"/>
        <w:jc w:val="both"/>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shd w:val="clear" w:fill="FFFFFF"/>
        </w:rPr>
        <w:t>第一部分 中国共产主义青年团长沙市开福区委员会部门概况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2"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2"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2"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2" w:firstLineChars="200"/>
        <w:jc w:val="both"/>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2" w:firstLineChars="200"/>
        <w:jc w:val="both"/>
        <w:textAlignment w:val="auto"/>
        <w:rPr>
          <w:rFonts w:hint="eastAsia" w:ascii="黑体" w:hAnsi="黑体" w:eastAsia="黑体" w:cs="黑体"/>
          <w:b/>
          <w:bCs/>
          <w:color w:val="auto"/>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2" w:firstLineChars="200"/>
        <w:jc w:val="both"/>
        <w:textAlignment w:val="auto"/>
        <w:rPr>
          <w:rFonts w:hint="eastAsia" w:ascii="黑体" w:hAnsi="黑体" w:eastAsia="黑体" w:cs="黑体"/>
          <w:b/>
          <w:bCs/>
          <w:color w:val="auto"/>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42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第一部分 中国共产主义青年团长沙市开福区委员会部门概况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（一）组织全区团员和青年学习马克思列宁主义、毛泽东思想和邓小平理论，学习党的路线、方针和政策，学习科学、文化和业务。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（二）宣传、执行党和团组织的指示和决议，参与民主管理和民主监督，充分发挥团员的模范作用，团结带领青年积极投身改革开放和现代化建设，为物质文明和精神文明建设作贡献。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（三）教育团员和青年学习革命前辈，继承党的优良传统，发扬社会主义道德风尚，树立与改革开放和社会发展相适应的新观念，自觉抵制不良倾向，坚决同各种违法犯罪行为作斗争。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（四）了解和反映团员和青年的思想、要求，维护他们的权益，关心他们的学习、工作、生活和休息，开展文化、娱乐、体育活动。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（五）对要求入团的青年进行培养教育，做好全区经常性发展团员工作，收缴团费。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（六）发现和培养青年中的优秀人才，推荐他们进入更重要的生产和工作岗位。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（七）对团员进行教育和管理，健全团的组织生活，开展批评和自我批评，监督团员切实履行义务，保障团员的权益不受侵犯，表彰先进，执行团的纪律。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（八）指导区属各级团组织开展共青团工作。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（九）承办区委、区政府和上级团委交办的其他工作。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。本部门设有1个行政单位，无二级机构及内设科室纳入预算。本部门编制数 3人，在职人数3人，其中：在岗人数 3人；编外长期聘用人员 1人；离退休人数0人，其中离休人员0人，退休人员0人。2020年机构无变化。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。中国共产主义青年团长沙市开福区委员会单位2020年部门决算汇总公开单位构成仅有中国共产主义青年团长沙市开福区委员会单位本级预算，无其他内设科室和二级机构，且无内设科室及二级的预算单位。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shd w:val="clear" w:fill="FFFFFF"/>
        </w:rPr>
      </w:pPr>
      <w:r>
        <w:rPr>
          <w:rFonts w:hint="eastAsia" w:ascii="黑体" w:hAnsi="黑体" w:eastAsia="黑体" w:cs="黑体"/>
          <w:i w:val="0"/>
          <w:iCs w:val="0"/>
          <w:caps w:val="0"/>
          <w:color w:val="auto"/>
          <w:spacing w:val="0"/>
          <w:sz w:val="44"/>
          <w:szCs w:val="44"/>
          <w:shd w:val="clear" w:fill="FFFFFF"/>
        </w:rPr>
        <w:t>第二部分2020年部门决算表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详情请见附件</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第三部分 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2020年度收入总计309.19万元，与2019年相比，减少25.67万元，减少7.67%，主要是因为项目拨付和支出未完成</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2020年度支出总计309.19万元，与2019年相比，减少25.67万元，减少7.67%，主要是因为项目拨付和支出未完成。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本年收入合计255.89万元，其中：财政拨款收入255.89万元，占100%；上级补助收入0万元，占0%；事业收入0万元，占0%；经营收入0万元，占0%；附属单位上缴收入0万元，占0%；其他收入0万元，占0%。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本年支出合计211.59万元，其中：基本支出88.83万元，占41.98%；项目支出122.76万元，占58.02%；上缴上级支出0万元，占0%；经营支出0万元，占0%；对附属单位补助支出0万元，占0%。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2020年度财政拨款收入总计309.19万元，与201</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年相比，减少25.67万元，减少7.67%，2020年度财政拨款支出总计309.19万元，与201</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年相比，减少25.67万元，减少7.67%，主要是因为一般行政管理事务</w:t>
      </w:r>
      <w:r>
        <w:rPr>
          <w:rFonts w:hint="eastAsia" w:ascii="仿宋" w:hAnsi="仿宋" w:eastAsia="仿宋" w:cs="仿宋"/>
          <w:i w:val="0"/>
          <w:iCs w:val="0"/>
          <w:caps w:val="0"/>
          <w:color w:val="auto"/>
          <w:spacing w:val="0"/>
          <w:sz w:val="32"/>
          <w:szCs w:val="32"/>
          <w:shd w:val="clear" w:fill="FFFFFF"/>
          <w:lang w:eastAsia="zh-CN"/>
        </w:rPr>
        <w:t>支出减少</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2020年度财政拨款支出211.59万元，占本年支出合计的100%，与2019年相比，财政拨款支出减少57.47万元，减少21.36%，主要是因为部分项目拨付和支出未完成。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211.59万元，主要用于以下方面：一般公共服务（类）支出188.07万元，占88.88%；科学技术（类）支出10万元，占4.73%；社会保障和就业支出（类）支出7.66万元，占3.62%;住房保障支出（类）支出5.86万元，占2.77%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2020年度财政拨款支出年初预算数为146.84万元，支出决算数为211.59万元，完成年初预算的144.1%，其中：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1、一般公共服务支出（类）群众团体事务（款）行政运行（项）。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年初预算为83.9</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万元，支出决算为79.3万元，完成年初预算的94.4</w:t>
      </w:r>
      <w:r>
        <w:rPr>
          <w:rFonts w:hint="eastAsia" w:ascii="仿宋" w:hAnsi="仿宋" w:eastAsia="仿宋" w:cs="仿宋"/>
          <w:i w:val="0"/>
          <w:iCs w:val="0"/>
          <w:caps w:val="0"/>
          <w:color w:val="auto"/>
          <w:spacing w:val="0"/>
          <w:sz w:val="32"/>
          <w:szCs w:val="32"/>
          <w:shd w:val="clear" w:fill="FFFFFF"/>
          <w:lang w:val="en-US" w:eastAsia="zh-CN"/>
        </w:rPr>
        <w:t>9</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highlight w:val="none"/>
          <w:shd w:val="clear" w:fill="FFFFFF"/>
        </w:rPr>
        <w:t>决算数小于年初预算数的主要原因是：</w:t>
      </w:r>
      <w:r>
        <w:rPr>
          <w:rFonts w:hint="eastAsia" w:ascii="仿宋" w:hAnsi="仿宋" w:eastAsia="仿宋" w:cs="仿宋"/>
          <w:i w:val="0"/>
          <w:iCs w:val="0"/>
          <w:caps w:val="0"/>
          <w:color w:val="auto"/>
          <w:spacing w:val="0"/>
          <w:sz w:val="32"/>
          <w:szCs w:val="32"/>
          <w:highlight w:val="none"/>
          <w:shd w:val="clear" w:fill="FFFFFF"/>
          <w:lang w:eastAsia="zh-CN"/>
        </w:rPr>
        <w:t>商品和服务</w:t>
      </w:r>
      <w:r>
        <w:rPr>
          <w:rFonts w:hint="eastAsia" w:ascii="仿宋" w:hAnsi="仿宋" w:eastAsia="仿宋" w:cs="仿宋"/>
          <w:i w:val="0"/>
          <w:iCs w:val="0"/>
          <w:caps w:val="0"/>
          <w:color w:val="auto"/>
          <w:spacing w:val="0"/>
          <w:sz w:val="32"/>
          <w:szCs w:val="32"/>
          <w:highlight w:val="none"/>
          <w:shd w:val="clear" w:fill="FFFFFF"/>
          <w:lang w:val="en-US" w:eastAsia="zh-CN"/>
        </w:rPr>
        <w:t>支出减少。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2、一般公共服务支出（类）群众团体事务（款）一般行政管理事务（项）。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年初预算为57万元，支出决算为108.76万元，完成年初预算的190.81%，决算数大于年初预算数的主要原因是：</w:t>
      </w:r>
      <w:r>
        <w:rPr>
          <w:rFonts w:hint="eastAsia" w:ascii="仿宋" w:hAnsi="仿宋" w:eastAsia="仿宋" w:cs="仿宋"/>
          <w:i w:val="0"/>
          <w:iCs w:val="0"/>
          <w:caps w:val="0"/>
          <w:color w:val="auto"/>
          <w:spacing w:val="0"/>
          <w:sz w:val="32"/>
          <w:szCs w:val="32"/>
          <w:shd w:val="clear" w:fill="FFFFFF"/>
          <w:lang w:eastAsia="zh-CN"/>
        </w:rPr>
        <w:t>开展活动较多，在预防青少年违法犯罪与青少年发展事务工作方面经费</w:t>
      </w:r>
      <w:r>
        <w:rPr>
          <w:rFonts w:hint="eastAsia" w:ascii="仿宋" w:hAnsi="仿宋" w:eastAsia="仿宋" w:cs="仿宋"/>
          <w:i w:val="0"/>
          <w:iCs w:val="0"/>
          <w:caps w:val="0"/>
          <w:color w:val="auto"/>
          <w:spacing w:val="0"/>
          <w:sz w:val="32"/>
          <w:szCs w:val="32"/>
          <w:shd w:val="clear" w:fill="FFFFFF"/>
          <w:lang w:val="en-US" w:eastAsia="zh-CN"/>
        </w:rPr>
        <w:t>支出增加。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3、科学技术支出（类）其他科学技术支出（款）其他科学技术支出（项）。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年初预算为0万元，支出决算为10万元，决算数大于年初预算数的主要原因是：</w:t>
      </w:r>
      <w:r>
        <w:rPr>
          <w:rFonts w:hint="eastAsia" w:ascii="仿宋" w:hAnsi="仿宋" w:eastAsia="仿宋" w:cs="仿宋"/>
          <w:i w:val="0"/>
          <w:iCs w:val="0"/>
          <w:caps w:val="0"/>
          <w:color w:val="auto"/>
          <w:spacing w:val="0"/>
          <w:sz w:val="32"/>
          <w:szCs w:val="32"/>
          <w:shd w:val="clear" w:fill="FFFFFF"/>
          <w:lang w:eastAsia="zh-CN"/>
        </w:rPr>
        <w:t>按</w:t>
      </w:r>
      <w:r>
        <w:rPr>
          <w:rFonts w:hint="eastAsia" w:ascii="仿宋" w:hAnsi="仿宋" w:eastAsia="仿宋" w:cs="仿宋"/>
          <w:i w:val="0"/>
          <w:iCs w:val="0"/>
          <w:caps w:val="0"/>
          <w:color w:val="auto"/>
          <w:spacing w:val="0"/>
          <w:sz w:val="32"/>
          <w:szCs w:val="32"/>
          <w:shd w:val="clear" w:fill="FFFFFF"/>
          <w:lang w:val="en-US" w:eastAsia="zh-CN"/>
        </w:rPr>
        <w:t>共青团改革要求增加青少年服务内容。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4、社会保障和就业支出（类）民政管理事务（款）一般行政管理事务（项）。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年初预算为0万元，支出决算为4万元，决算数大于年初预算数的主要原因是：</w:t>
      </w:r>
      <w:r>
        <w:rPr>
          <w:rFonts w:hint="eastAsia" w:ascii="仿宋" w:hAnsi="仿宋" w:eastAsia="仿宋" w:cs="仿宋"/>
          <w:i w:val="0"/>
          <w:iCs w:val="0"/>
          <w:caps w:val="0"/>
          <w:color w:val="auto"/>
          <w:spacing w:val="0"/>
          <w:sz w:val="32"/>
          <w:szCs w:val="32"/>
          <w:shd w:val="clear" w:fill="FFFFFF"/>
          <w:lang w:eastAsia="zh-CN"/>
        </w:rPr>
        <w:t>按</w:t>
      </w:r>
      <w:r>
        <w:rPr>
          <w:rFonts w:hint="eastAsia" w:ascii="仿宋" w:hAnsi="仿宋" w:eastAsia="仿宋" w:cs="仿宋"/>
          <w:i w:val="0"/>
          <w:iCs w:val="0"/>
          <w:caps w:val="0"/>
          <w:color w:val="auto"/>
          <w:spacing w:val="0"/>
          <w:sz w:val="32"/>
          <w:szCs w:val="32"/>
          <w:shd w:val="clear" w:fill="FFFFFF"/>
          <w:lang w:val="en-US" w:eastAsia="zh-CN"/>
        </w:rPr>
        <w:t>共青团改革要求增加青少年服务内容。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5、社会保障和就业支出（类）行政事业单位养老支出（款）机关事业单位基本养老保险缴费支出（项）。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年初预算为0万元，支出决算为3.33万元，决算数大于年初预算数的主要原因是：</w:t>
      </w:r>
      <w:r>
        <w:rPr>
          <w:rFonts w:hint="eastAsia" w:ascii="仿宋" w:hAnsi="仿宋" w:eastAsia="仿宋" w:cs="仿宋"/>
          <w:i w:val="0"/>
          <w:iCs w:val="0"/>
          <w:caps w:val="0"/>
          <w:color w:val="auto"/>
          <w:spacing w:val="0"/>
          <w:sz w:val="32"/>
          <w:szCs w:val="32"/>
          <w:shd w:val="clear" w:fill="FFFFFF"/>
          <w:lang w:eastAsia="zh-CN"/>
        </w:rPr>
        <w:t>按</w:t>
      </w:r>
      <w:r>
        <w:rPr>
          <w:rFonts w:hint="eastAsia" w:ascii="仿宋" w:hAnsi="仿宋" w:eastAsia="仿宋" w:cs="仿宋"/>
          <w:i w:val="0"/>
          <w:iCs w:val="0"/>
          <w:caps w:val="0"/>
          <w:color w:val="auto"/>
          <w:spacing w:val="0"/>
          <w:sz w:val="32"/>
          <w:szCs w:val="32"/>
          <w:shd w:val="clear" w:fill="FFFFFF"/>
          <w:lang w:val="en-US" w:eastAsia="zh-CN"/>
        </w:rPr>
        <w:t>共青团改革要求增加青少年服务内容。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6、社会保障和就业支出（类）残疾人事业（款） 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年初预算为0万元，支出决算为0.33万元，决算数大于年初预算数的主要原因是：</w:t>
      </w:r>
      <w:r>
        <w:rPr>
          <w:rFonts w:hint="eastAsia" w:ascii="仿宋" w:hAnsi="仿宋" w:eastAsia="仿宋" w:cs="仿宋"/>
          <w:i w:val="0"/>
          <w:iCs w:val="0"/>
          <w:caps w:val="0"/>
          <w:color w:val="auto"/>
          <w:spacing w:val="0"/>
          <w:sz w:val="32"/>
          <w:szCs w:val="32"/>
          <w:shd w:val="clear" w:fill="FFFFFF"/>
          <w:lang w:eastAsia="zh-CN"/>
        </w:rPr>
        <w:t>按</w:t>
      </w:r>
      <w:r>
        <w:rPr>
          <w:rFonts w:hint="eastAsia" w:ascii="仿宋" w:hAnsi="仿宋" w:eastAsia="仿宋" w:cs="仿宋"/>
          <w:i w:val="0"/>
          <w:iCs w:val="0"/>
          <w:caps w:val="0"/>
          <w:color w:val="auto"/>
          <w:spacing w:val="0"/>
          <w:sz w:val="32"/>
          <w:szCs w:val="32"/>
          <w:shd w:val="clear" w:fill="FFFFFF"/>
          <w:lang w:val="en-US" w:eastAsia="zh-CN"/>
        </w:rPr>
        <w:t>共青团改革要求增加青少年服务内容。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年初预算为5.9</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万元，支出决算为5.86万元，完成年初预算的</w:t>
      </w:r>
      <w:r>
        <w:rPr>
          <w:rFonts w:hint="eastAsia" w:ascii="仿宋" w:hAnsi="仿宋" w:eastAsia="仿宋" w:cs="仿宋"/>
          <w:i w:val="0"/>
          <w:iCs w:val="0"/>
          <w:caps w:val="0"/>
          <w:color w:val="auto"/>
          <w:spacing w:val="0"/>
          <w:sz w:val="32"/>
          <w:szCs w:val="32"/>
          <w:shd w:val="clear" w:fill="FFFFFF"/>
          <w:lang w:val="en-US" w:eastAsia="zh-CN"/>
        </w:rPr>
        <w:t>99.15</w:t>
      </w:r>
      <w:r>
        <w:rPr>
          <w:rFonts w:hint="eastAsia" w:ascii="仿宋" w:hAnsi="仿宋" w:eastAsia="仿宋" w:cs="仿宋"/>
          <w:i w:val="0"/>
          <w:iCs w:val="0"/>
          <w:caps w:val="0"/>
          <w:color w:val="auto"/>
          <w:spacing w:val="0"/>
          <w:sz w:val="32"/>
          <w:szCs w:val="32"/>
          <w:shd w:val="clear" w:fill="FFFFFF"/>
        </w:rPr>
        <w:t>%，决算数小于年初预算数的主要原因是：</w:t>
      </w:r>
      <w:r>
        <w:rPr>
          <w:rFonts w:hint="eastAsia" w:ascii="仿宋" w:hAnsi="仿宋" w:eastAsia="仿宋" w:cs="仿宋"/>
          <w:i w:val="0"/>
          <w:iCs w:val="0"/>
          <w:caps w:val="0"/>
          <w:color w:val="auto"/>
          <w:spacing w:val="0"/>
          <w:sz w:val="32"/>
          <w:szCs w:val="32"/>
          <w:shd w:val="clear" w:fill="FFFFFF"/>
          <w:lang w:val="en-US" w:eastAsia="zh-CN"/>
        </w:rPr>
        <w:t>按要求厉行节约，控制开支。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88.83万元，其中：人员经费80.31万元，占基本支出的90.41%,主要包括基本工资、津贴补贴、奖金、伙食补助费；公用经费8.52万元，占基本支出的9.59%，主要包括办公费、印刷费、咨询费、手续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“三公”经费财政拨款支出预算为0万元，支出决算为0万元，完成预算的0%，其中：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因公出国（境）费支出预算为0万元，支出决算为0万元，决算数等于年初预算数，与上年相比无变化，均为0万元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shd w:val="clear" w:fill="FFFFFF"/>
        </w:rPr>
        <w:t>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shd w:val="clear" w:fill="FFFFFF"/>
        </w:rPr>
        <w:t>公务接待费支出预算0万元，支出决算为0万元，决算数等于年初预算数，与上年相比无变化，均为0万元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主要原因是无公务接待。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公务用车购置费及运行维护费支出预算为0万元，支出决算为0万元，决算数等于年初预算数，与上年相比无变化，均为0万元</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主要原因是无公务用车</w:t>
      </w:r>
      <w:r>
        <w:rPr>
          <w:rFonts w:hint="eastAsia" w:ascii="仿宋" w:hAnsi="仿宋" w:eastAsia="仿宋" w:cs="仿宋"/>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2020年度“三公”经费财政拨款支出决算中，公务接待费支出决算0万元，占0%,因公出国（境）费支出决算0万元，占0%,公务用车购置费及运行维护费支出决算0万元，占0%。其中：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2、公务接待费支出决算为0万元，全年共接待来访团组0个、来宾0人次。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3、公务用车购置费及运行维护费支出决算为0万元，其中：公务用车购置费0万元，更新公务用车0辆。公务用车运行维护费0万元，截至2020年 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根据财政预算管理和省级财政资金预算绩效评价工作要求，2020年度本部门进一步完善了资金管理制度，规范了资金分配、使用程序，实时跟进了财政资金的支出进度，较好地完成了年度工作目标，重点加强了绩效目标的管理，推进了本部门财政支出绩效评价工作的有序开展。（详见附件）</w:t>
      </w:r>
      <w:r>
        <w:rPr>
          <w:rFonts w:hint="eastAsia" w:ascii="仿宋" w:hAnsi="仿宋" w:eastAsia="仿宋" w:cs="仿宋"/>
          <w:i w:val="0"/>
          <w:iCs w:val="0"/>
          <w:caps w:val="0"/>
          <w:color w:val="auto"/>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shd w:val="clear" w:fill="FFFFFF"/>
        </w:rPr>
        <w:t>本部门2020年度机关运行经费支出8.52万元，比年初预算数减少0.48万元，降低0.53%。主要原因是：部分支出等待支付结算</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2020年本部门开支会议费0万元；开支培训费0.02万元，用于开展1培训，人数5人，内容为团干业务培训；举办等节庆、晚会、论坛、赛事活动，开支0.02万元，主要是体育赛事比赛。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2" w:firstLineChars="200"/>
        <w:jc w:val="both"/>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Cs/>
          <w:color w:val="auto"/>
          <w:kern w:val="0"/>
          <w:sz w:val="44"/>
          <w:szCs w:val="44"/>
        </w:rPr>
      </w:pPr>
      <w:r>
        <w:rPr>
          <w:rFonts w:hint="eastAsia" w:ascii="黑体" w:hAnsi="黑体" w:eastAsia="黑体" w:cs="黑体"/>
          <w:bCs/>
          <w:color w:val="auto"/>
          <w:kern w:val="0"/>
          <w:sz w:val="44"/>
          <w:szCs w:val="44"/>
        </w:rPr>
        <w:t>第四部分 名词解释</w:t>
      </w:r>
    </w:p>
    <w:p>
      <w:pPr>
        <w:keepNext w:val="0"/>
        <w:keepLines w:val="0"/>
        <w:pageBreakBefore w:val="0"/>
        <w:kinsoku/>
        <w:wordWrap/>
        <w:overflowPunct/>
        <w:topLinePunct w:val="0"/>
        <w:bidi w:val="0"/>
        <w:snapToGrid/>
        <w:spacing w:line="600" w:lineRule="exact"/>
        <w:textAlignment w:val="auto"/>
        <w:rPr>
          <w:rFonts w:hint="eastAsia"/>
          <w:color w:val="auto"/>
        </w:rPr>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color w:val="auto"/>
          <w:kern w:val="2"/>
          <w:sz w:val="32"/>
          <w:szCs w:val="32"/>
          <w:lang w:val="en-US" w:eastAsia="zh-CN" w:bidi="ar-SA"/>
        </w:rPr>
      </w:pPr>
      <w:r>
        <w:rPr>
          <w:rFonts w:hint="eastAsia"/>
          <w:color w:val="auto"/>
          <w:lang w:val="en-US" w:eastAsia="zh-CN"/>
        </w:rPr>
        <w:t xml:space="preserve">  </w:t>
      </w:r>
      <w:r>
        <w:rPr>
          <w:rFonts w:hint="eastAsia" w:ascii="仿宋" w:hAnsi="仿宋" w:eastAsia="仿宋" w:cs="仿宋"/>
          <w:color w:val="auto"/>
          <w:kern w:val="2"/>
          <w:sz w:val="32"/>
          <w:szCs w:val="32"/>
          <w:lang w:val="en-US" w:eastAsia="zh-CN" w:bidi="ar-SA"/>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rPr>
          <w:rFonts w:hint="eastAsia"/>
          <w:color w:val="auto"/>
        </w:rPr>
      </w:pPr>
    </w:p>
    <w:p>
      <w:pPr>
        <w:keepNext w:val="0"/>
        <w:keepLines w:val="0"/>
        <w:pageBreakBefore w:val="0"/>
        <w:kinsoku/>
        <w:wordWrap/>
        <w:overflowPunct/>
        <w:topLinePunct w:val="0"/>
        <w:bidi w:val="0"/>
        <w:snapToGrid/>
        <w:spacing w:line="600" w:lineRule="exact"/>
        <w:textAlignment w:val="auto"/>
        <w:rPr>
          <w:rFonts w:hint="eastAsia"/>
          <w:color w:val="auto"/>
        </w:rPr>
      </w:pP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numPr>
          <w:ilvl w:val="0"/>
          <w:numId w:val="0"/>
        </w:numPr>
        <w:kinsoku/>
        <w:wordWrap/>
        <w:overflowPunct/>
        <w:topLinePunct w:val="0"/>
        <w:bidi w:val="0"/>
        <w:snapToGrid/>
        <w:spacing w:line="600" w:lineRule="exact"/>
        <w:jc w:val="both"/>
        <w:textAlignment w:val="auto"/>
        <w:rPr>
          <w:rFonts w:hint="eastAsia" w:ascii="黑体" w:hAnsi="黑体" w:eastAsia="黑体" w:cs="黑体"/>
          <w:bCs/>
          <w:color w:val="auto"/>
          <w:kern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2020年度部门整体支出绩效评价报告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本部门年末进行自行审核，经费严格按照预算，实现了专款专用，较好地履行了团委工作职能，达到了全面推进全区共青团工作的效果。</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86"/>
    <w:family w:val="modern"/>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YTFmYjg3ZWZiMWI5YTEwNDY1YzBiZmQ2NDZiNzAifQ=="/>
  </w:docVars>
  <w:rsids>
    <w:rsidRoot w:val="00000000"/>
    <w:rsid w:val="0AB6525D"/>
    <w:rsid w:val="4B3742F1"/>
    <w:rsid w:val="4E2D4F88"/>
    <w:rsid w:val="50C139CB"/>
    <w:rsid w:val="527134AA"/>
    <w:rsid w:val="690D145A"/>
    <w:rsid w:val="70830336"/>
    <w:rsid w:val="D9F6C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4050</Words>
  <Characters>4405</Characters>
  <Lines>0</Lines>
  <Paragraphs>0</Paragraphs>
  <TotalTime>0</TotalTime>
  <ScaleCrop>false</ScaleCrop>
  <LinksUpToDate>false</LinksUpToDate>
  <CharactersWithSpaces>4428</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cp:lastPrinted>2022-08-19T10:59:00Z</cp:lastPrinted>
  <dcterms:modified xsi:type="dcterms:W3CDTF">2022-08-19T14:14:15Z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546FDFF691AC46FDBDFA27460292DAB6</vt:lpwstr>
  </property>
</Properties>
</file>