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2" w:rightChars="-33"/>
        <w:jc w:val="center"/>
        <w:outlineLvl w:val="0"/>
        <w:rPr>
          <w:rFonts w:hint="eastAsia" w:eastAsia="方正小标宋_GBK"/>
          <w:sz w:val="48"/>
          <w:szCs w:val="48"/>
          <w:lang w:val="en-US" w:eastAsia="zh-CN"/>
        </w:rPr>
      </w:pPr>
    </w:p>
    <w:p>
      <w:pPr>
        <w:ind w:right="-92" w:rightChars="-33"/>
        <w:jc w:val="center"/>
        <w:outlineLvl w:val="0"/>
        <w:rPr>
          <w:rFonts w:hint="eastAsia" w:eastAsia="方正小标宋_GBK"/>
          <w:sz w:val="48"/>
          <w:szCs w:val="48"/>
          <w:lang w:val="en-US" w:eastAsia="zh-CN"/>
        </w:rPr>
      </w:pPr>
    </w:p>
    <w:p>
      <w:pPr>
        <w:ind w:right="-92" w:rightChars="-33"/>
        <w:jc w:val="center"/>
        <w:outlineLvl w:val="0"/>
        <w:rPr>
          <w:rFonts w:hint="eastAsia" w:eastAsia="方正小标宋_GBK"/>
          <w:sz w:val="48"/>
          <w:szCs w:val="48"/>
          <w:lang w:val="en-US" w:eastAsia="zh-CN"/>
        </w:rPr>
      </w:pPr>
    </w:p>
    <w:p>
      <w:pPr>
        <w:ind w:right="-92" w:rightChars="-33"/>
        <w:jc w:val="center"/>
        <w:outlineLvl w:val="0"/>
        <w:rPr>
          <w:rFonts w:hint="eastAsia" w:eastAsia="方正小标宋_GBK"/>
          <w:sz w:val="48"/>
          <w:szCs w:val="48"/>
          <w:lang w:val="en-US" w:eastAsia="zh-CN"/>
        </w:rPr>
      </w:pPr>
    </w:p>
    <w:p>
      <w:pPr>
        <w:ind w:right="-92" w:rightChars="-33"/>
        <w:jc w:val="center"/>
        <w:outlineLvl w:val="0"/>
        <w:rPr>
          <w:rFonts w:hint="eastAsia" w:eastAsia="方正小标宋_GBK"/>
          <w:sz w:val="48"/>
          <w:szCs w:val="48"/>
          <w:lang w:val="en-US" w:eastAsia="zh-CN"/>
        </w:rPr>
      </w:pPr>
    </w:p>
    <w:p>
      <w:pPr>
        <w:ind w:right="-92" w:rightChars="-33"/>
        <w:jc w:val="center"/>
        <w:outlineLvl w:val="0"/>
        <w:rPr>
          <w:rFonts w:hint="eastAsia" w:eastAsia="方正小标宋_GBK"/>
          <w:sz w:val="48"/>
          <w:szCs w:val="48"/>
          <w:lang w:val="en-US" w:eastAsia="zh-CN"/>
        </w:rPr>
      </w:pPr>
    </w:p>
    <w:p>
      <w:pPr>
        <w:ind w:right="-92" w:rightChars="-33"/>
        <w:jc w:val="center"/>
        <w:outlineLvl w:val="0"/>
        <w:rPr>
          <w:rFonts w:eastAsia="方正小标宋_GBK"/>
          <w:sz w:val="48"/>
          <w:szCs w:val="48"/>
        </w:rPr>
      </w:pPr>
      <w:r>
        <w:rPr>
          <w:rFonts w:hint="eastAsia" w:eastAsia="方正小标宋_GBK"/>
          <w:sz w:val="48"/>
          <w:szCs w:val="48"/>
          <w:lang w:val="en-US" w:eastAsia="zh-CN"/>
        </w:rPr>
        <w:t>2022</w:t>
      </w:r>
      <w:r>
        <w:rPr>
          <w:rFonts w:eastAsia="方正小标宋_GBK"/>
          <w:sz w:val="48"/>
          <w:szCs w:val="48"/>
        </w:rPr>
        <w:t>年度</w:t>
      </w:r>
      <w:r>
        <w:rPr>
          <w:rFonts w:hint="eastAsia" w:eastAsia="方正小标宋_GBK"/>
          <w:sz w:val="48"/>
          <w:szCs w:val="48"/>
          <w:lang w:eastAsia="zh-CN"/>
        </w:rPr>
        <w:t>中国人民政治协商会议湖南省长沙市开福区办公室部门</w:t>
      </w:r>
      <w:r>
        <w:rPr>
          <w:rFonts w:eastAsia="方正小标宋_GBK"/>
          <w:sz w:val="48"/>
          <w:szCs w:val="48"/>
        </w:rPr>
        <w:t>整体支出绩效自评报告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一、基本情况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（一）部门（单位）基本情况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1、人员情况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截至202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年12月31日，本部门编制数3</w:t>
      </w:r>
      <w:r>
        <w:rPr>
          <w:rFonts w:hint="default" w:ascii="仿宋" w:hAnsi="仿宋" w:eastAsia="仿宋" w:cs="仿宋"/>
          <w:b w:val="0"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人，在职人数3</w:t>
      </w:r>
      <w:r>
        <w:rPr>
          <w:rFonts w:hint="default" w:ascii="仿宋" w:hAnsi="仿宋" w:eastAsia="仿宋" w:cs="仿宋"/>
          <w:b w:val="0"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人，其中：在岗人数3</w:t>
      </w:r>
      <w:r>
        <w:rPr>
          <w:rFonts w:hint="default" w:ascii="仿宋" w:hAnsi="仿宋" w:eastAsia="仿宋" w:cs="仿宋"/>
          <w:b w:val="0"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人；编外长期聘用人员10人；离退休人数11人，其中离休人员0人，退休人员11人。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2、机构设置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根据开办发【2019】84号文，中国人民政治协商会议长沙市开福区委员会（以下简称区政协）设办事机构1个：区政协办公室；区政协设专门委员会6个：区政协委员学习联络委员会、区政协提案委员会、区政协经济科技和外事委员会、区政协农业农村和人口资源环境委员会、区政协文教卫体和文史委员会、区政协社会法制和民族宗教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根据开编委发【2019】9号文，成立长沙市开福区政协委员服务中心，为区政协办公室所属公益一类事业单位。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3、主要职能职责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负责区政协全体会议、常务委员会议、主席会议、主席办公会、常务委员专题座谈会和专门委员会的会务工作，负责上述会议所形成的决议、决定、建议案的组织实施；组织委员履行好政治协商、民主监督、参政议政的基本职能；负责区政协委员会进行视察、考察、参观、调查、座谈、学习、研讨等日常活动的后勤服务和具体组织工作；宣传人民政协的性质、地位、作用及党对人民政协的方针、政策，宣传人民政协的工作业绩、经验及政协委员的先进事迹；收集和反映区政协委员和各界人士的意见与建议，综合反映社情民意；联系和指导各民主党派、工商联、各人民团体和无党派人士，联系区直有关部门，互通信息，协调工作，加强合作；负责权限范围内的人事任免、机构调整和机关干部职工的教育管理工作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年度整体支出绩效目标</w:t>
      </w:r>
    </w:p>
    <w:p>
      <w:pPr>
        <w:pStyle w:val="7"/>
        <w:spacing w:line="60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1、产出指标：</w:t>
      </w:r>
      <w:r>
        <w:rPr>
          <w:rFonts w:hint="eastAsia" w:eastAsia="仿宋_GB2312"/>
          <w:color w:val="000000"/>
          <w:sz w:val="32"/>
          <w:szCs w:val="32"/>
        </w:rPr>
        <w:t>认真筹备并举行区政协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六</w:t>
      </w:r>
      <w:r>
        <w:rPr>
          <w:rFonts w:hint="eastAsia" w:eastAsia="仿宋_GB2312"/>
          <w:color w:val="000000"/>
          <w:sz w:val="32"/>
          <w:szCs w:val="32"/>
        </w:rPr>
        <w:t>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二</w:t>
      </w:r>
      <w:r>
        <w:rPr>
          <w:rFonts w:hint="eastAsia" w:eastAsia="仿宋_GB2312"/>
          <w:color w:val="000000"/>
          <w:sz w:val="32"/>
          <w:szCs w:val="32"/>
        </w:rPr>
        <w:t>次全会和选举工作；根据区委点题，落实强省会战略，与省、市政协开展“促进文旅融合发展，打造全域文旅示范区”同主题调研；围绕区政重大工作任务，精心组织开展“社区卫生服务中心建设”“农民保障性住房建设”“优化营商环境工作”“我区养老服务工作”“法治政府示范区创建工作”“自建房危房整治和安全隐患整治工作”等6个主席会议视察；选取5件委员提案作为重点提案进行督办；完成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清水塘畔的红色记忆</w:t>
      </w:r>
      <w:r>
        <w:rPr>
          <w:rFonts w:hint="eastAsia" w:eastAsia="仿宋_GB2312"/>
          <w:color w:val="000000"/>
          <w:sz w:val="32"/>
          <w:szCs w:val="32"/>
        </w:rPr>
        <w:t>》（暂定）一书的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编撰前期工作</w:t>
      </w:r>
      <w:r>
        <w:rPr>
          <w:rFonts w:hint="eastAsia" w:eastAsia="仿宋_GB2312"/>
          <w:color w:val="000000"/>
          <w:sz w:val="32"/>
          <w:szCs w:val="32"/>
        </w:rPr>
        <w:t>；继续推进民主监督员工作；对标对表省级示范委员工作室建设，制定下发《开福区政协委员工作室工作经费和人员分配实施方案》，分期分批对21个委员工作室进行提质增效，确保人员、资金、机制保障到位，更好地服务社区居民群众；继续组织、参加各项体育比赛</w:t>
      </w:r>
    </w:p>
    <w:p>
      <w:pPr>
        <w:pStyle w:val="7"/>
        <w:spacing w:line="600" w:lineRule="exact"/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效益指标：</w:t>
      </w:r>
      <w:r>
        <w:rPr>
          <w:rFonts w:hint="eastAsia" w:eastAsia="仿宋_GB2312"/>
          <w:color w:val="000000"/>
          <w:sz w:val="32"/>
          <w:szCs w:val="32"/>
        </w:rPr>
        <w:t xml:space="preserve"> 坚持新发展理念，把握正确的政治方向；提高政治站位，完成好换届选举工作；注重提质增效，助推开福高质量发展；坚守为民初心，践行人民政协为人民；抓好自身建设，夯实政协事业固根基。</w:t>
      </w:r>
    </w:p>
    <w:p>
      <w:pPr>
        <w:pStyle w:val="7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二、一般公共预算支出情况</w:t>
      </w:r>
    </w:p>
    <w:p>
      <w:pPr>
        <w:pStyle w:val="7"/>
        <w:spacing w:line="600" w:lineRule="exact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（一）基本支出情况</w:t>
      </w:r>
    </w:p>
    <w:p>
      <w:pPr>
        <w:pStyle w:val="7"/>
        <w:spacing w:line="600" w:lineRule="exact"/>
        <w:rPr>
          <w:rFonts w:hint="eastAsia" w:ascii="仿宋" w:hAnsi="仿宋" w:eastAsia="仿宋" w:cs="仿宋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202</w:t>
      </w:r>
      <w:r>
        <w:rPr>
          <w:rFonts w:hint="default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eastAsia="zh-CN" w:bidi="ar-SA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年基本支出为1474.7万元，其中：工资及福利支出1229.47万元，对个人及家庭补助支出133.42万元，商品和服务支出109.55万元，资本性支出2.26万元。</w:t>
      </w:r>
    </w:p>
    <w:p>
      <w:pPr>
        <w:pStyle w:val="7"/>
        <w:spacing w:line="600" w:lineRule="exact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（二）项目支出情况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2022年项目支出180.28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。项目明细如下：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1、委员活动项目经费111.67万元。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全年召开5次常委会，各委办按季度召开1次工作例会；组织委员开展6次主席会议视察活动；组织开展三次全员参加的“双百帮扶”慰问活动；组织委员、机关干部（预计240人）履职能力提升集中培训学习2次；每月出版一期《开福政协》每期预计300本；拨付委员工作室（站）工作经费；注重委员人文关怀，通过寄送生日贺卡、看望慰问委员等活动，为委员们营造了获得感和归属感；积极组队参加市政协组织的各项比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2、文史资料经费及湘声报订阅项目经费15万元。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完成《清水塘畔的红色记忆》（暂定）编纂前期工作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，订阅《文史博览》《文史博览·人物》《湘声报》《人民政协报》等政协报刊杂志。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3、重点课题调研项目经费经费21万元。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围绕区政重大工作任务，精心组织开展“社区卫生服务中心建设”“农民保障性住房建设”“优化营商环境工作”“我区养老服务工作”“法治政府示范区创建工作”“自建房危房整治和安全隐患整治工作”等6个主席会议视察，通过前期调研、现场察看、征求意见和协商议政，分别形成向区委、区政府的视察建议报告，提出有针对性的意见建议60余条，力促了一大批区域经济发展痛点、难点问题的解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4、提案经费5万元。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聚焦群众最关心、最直接、最现实的热点问题，选取6件作为重点提案，由区领导领办，采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  <w:t>取主席会议成员两轮督办等具体举措，推动提案办理工作提质增效。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5、政协委员工作室经费84万元（其中56.39万元二次分配拨付给16个街道）。</w:t>
      </w:r>
      <w:r>
        <w:rPr>
          <w:rFonts w:hint="eastAsia" w:ascii="Times New Roman" w:hAnsi="Times New Roman" w:eastAsia="仿宋_GB2312" w:cs="Arial"/>
          <w:color w:val="auto"/>
          <w:spacing w:val="0"/>
          <w:sz w:val="32"/>
          <w:szCs w:val="32"/>
          <w:highlight w:val="none"/>
          <w:u w:val="none"/>
        </w:rPr>
        <w:t>分</w:t>
      </w:r>
      <w:r>
        <w:rPr>
          <w:rFonts w:hint="eastAsia" w:ascii="Times New Roman" w:hAnsi="Times New Roman" w:eastAsia="仿宋_GB2312" w:cs="Arial"/>
          <w:color w:val="auto"/>
          <w:spacing w:val="0"/>
          <w:sz w:val="32"/>
          <w:szCs w:val="32"/>
          <w:u w:val="none"/>
        </w:rPr>
        <w:t>期分批对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u w:val="none"/>
        </w:rPr>
        <w:t>21</w:t>
      </w:r>
      <w:r>
        <w:rPr>
          <w:rFonts w:hint="eastAsia" w:ascii="Times New Roman" w:hAnsi="Times New Roman" w:eastAsia="仿宋_GB2312" w:cs="Arial"/>
          <w:color w:val="auto"/>
          <w:spacing w:val="0"/>
          <w:sz w:val="32"/>
          <w:szCs w:val="32"/>
          <w:u w:val="none"/>
        </w:rPr>
        <w:t>个委员工作室进行提质增效，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  <w:t>确保人员、资金、机制保障到位，更好地服务社区居民群众。</w:t>
      </w:r>
    </w:p>
    <w:p>
      <w:pPr>
        <w:pStyle w:val="7"/>
        <w:numPr>
          <w:ilvl w:val="0"/>
          <w:numId w:val="2"/>
        </w:num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政府性基金预算支出情况</w:t>
      </w:r>
    </w:p>
    <w:p>
      <w:pPr>
        <w:pStyle w:val="7"/>
        <w:numPr>
          <w:ilvl w:val="0"/>
          <w:numId w:val="0"/>
        </w:numPr>
        <w:spacing w:line="600" w:lineRule="exact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无</w:t>
      </w:r>
    </w:p>
    <w:p>
      <w:pPr>
        <w:pStyle w:val="7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国有资本经营预算支出情况</w:t>
      </w:r>
    </w:p>
    <w:p>
      <w:pPr>
        <w:pStyle w:val="7"/>
        <w:numPr>
          <w:ilvl w:val="0"/>
          <w:numId w:val="0"/>
        </w:numPr>
        <w:spacing w:line="600" w:lineRule="exact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无</w:t>
      </w:r>
    </w:p>
    <w:p>
      <w:pPr>
        <w:pStyle w:val="7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社会保险基金预算支出情况</w:t>
      </w:r>
    </w:p>
    <w:p>
      <w:pPr>
        <w:pStyle w:val="7"/>
        <w:numPr>
          <w:ilvl w:val="0"/>
          <w:numId w:val="0"/>
        </w:numPr>
        <w:spacing w:line="600" w:lineRule="exact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无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六、部门整体支出绩效情况</w:t>
      </w:r>
    </w:p>
    <w:p>
      <w:pPr>
        <w:pStyle w:val="7"/>
        <w:spacing w:line="60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2022年，在中共开福区委的坚强领导下，区政协六届常委会始终保持“永远在一线”的干事激情和创业氛围，团结带领政协各参加单位和全体政协委员，深入学习贯彻中共二十大精神，紧紧围绕区委决策部署和战略目标，树牢“一线”意识、确立“一线”标杆、保持“一线”状态、强化“一线”担当，在助力区委疫情防控、经济发展、安全稳定、民生实事上做到了履职有担当、落实有抓手、创新有品牌、工作有成效，以实干实绩交出了政协在政治之年的优异答卷。</w:t>
      </w:r>
    </w:p>
    <w:p>
      <w:pPr>
        <w:pStyle w:val="7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七、存在的问题及原因分析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本年支出</w:t>
      </w:r>
      <w:r>
        <w:rPr>
          <w:rFonts w:hint="eastAsia"/>
          <w:sz w:val="32"/>
          <w:szCs w:val="32"/>
          <w:lang w:eastAsia="zh-CN"/>
        </w:rPr>
        <w:t>相比上一年减少</w:t>
      </w:r>
      <w:r>
        <w:rPr>
          <w:rFonts w:hint="eastAsia"/>
          <w:sz w:val="32"/>
          <w:szCs w:val="32"/>
          <w:lang w:val="en-US" w:eastAsia="zh-CN"/>
        </w:rPr>
        <w:t>54.9%</w:t>
      </w:r>
      <w:r>
        <w:rPr>
          <w:rFonts w:hint="eastAsia" w:eastAsia="仿宋_GB2312"/>
          <w:sz w:val="32"/>
          <w:szCs w:val="32"/>
        </w:rPr>
        <w:t>，主要为</w:t>
      </w:r>
      <w:r>
        <w:rPr>
          <w:rFonts w:hint="eastAsia"/>
          <w:sz w:val="32"/>
          <w:szCs w:val="32"/>
          <w:lang w:eastAsia="zh-CN"/>
        </w:rPr>
        <w:t>年初年末项目支出口径不一致；年初申报的两项项目支出，年底被列入基本支出，导致年初预算数与年底决算数相差较大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/>
          <w:sz w:val="32"/>
          <w:szCs w:val="32"/>
          <w:lang w:eastAsia="zh-CN"/>
        </w:rPr>
        <w:t>随着财务工作日益细化，财政预算管理的一体化，我单位还需进一步提升对预算的细化工作，加强对资金使用的前瞻性预估。财务人员业务水平仍需提高。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下一步改进措施</w:t>
      </w:r>
    </w:p>
    <w:p>
      <w:pPr>
        <w:spacing w:line="600" w:lineRule="exact"/>
        <w:ind w:firstLine="640" w:firstLineChars="200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科学合理编制预算，严格执行预。在预算的编制阶段，多花时间、下功夫，将每一项支出的预算做好做细。完善管理制度，进一步加强资产管理。严格按照《固定资产管理办法》的规定加强固定资产管理，加强资产卡片管理，确保账账、账实相符。加强对财务人员的相关业务水平，提高整体工作效率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九、绩效自评结果拟应用和公开情况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1、我单位根据专项绩效评定指标对各项目量化评价，自评指标得分</w:t>
      </w:r>
      <w:r>
        <w:rPr>
          <w:rFonts w:hint="eastAsia" w:cs="Times New Roman"/>
          <w:kern w:val="2"/>
          <w:sz w:val="32"/>
          <w:szCs w:val="32"/>
          <w:highlight w:val="none"/>
          <w:lang w:val="en-US" w:eastAsia="zh-CN" w:bidi="ar-SA"/>
        </w:rPr>
        <w:t>100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left"/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2、将项目支出后的实际状况与项目申报的绩效目标进行对比分析。按项目实际支出和项目申报绩效目标进行对比分析自评得分100分，所有项目均与批复下达相符。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十、</w:t>
      </w:r>
      <w:r>
        <w:rPr>
          <w:rFonts w:eastAsia="黑体"/>
          <w:sz w:val="32"/>
          <w:szCs w:val="32"/>
        </w:rPr>
        <w:t>其他需要说明的情况</w:t>
      </w:r>
    </w:p>
    <w:p>
      <w:pPr>
        <w:pStyle w:val="2"/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进一步健全和完善财务管理制度及内部控制制度，创新管理手段，用新思路、新方法，改进完善财务管理方法，用制度管项目，用制度管资金，杜绝一切腐败现象。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outlineLvl w:val="0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  <w:lang w:val="en-US" w:eastAsia="zh-CN"/>
        </w:rPr>
        <w:t>2022年度</w:t>
      </w:r>
      <w:r>
        <w:rPr>
          <w:rFonts w:eastAsia="方正小标宋_GBK"/>
          <w:kern w:val="0"/>
          <w:sz w:val="36"/>
          <w:szCs w:val="36"/>
        </w:rPr>
        <w:t>部门整体支出绩效评价基础数据表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2"/>
        <w:gridCol w:w="992"/>
        <w:gridCol w:w="992"/>
        <w:gridCol w:w="1134"/>
        <w:gridCol w:w="992"/>
        <w:gridCol w:w="993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06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财政供养人员情况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编制数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年实际在职人数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控制率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（理想值≤1）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62" w:type="dxa"/>
            <w:vMerge w:val="continue"/>
            <w:noWrap/>
            <w:vAlign w:val="center"/>
          </w:tcPr>
          <w:p/>
        </w:tc>
        <w:tc>
          <w:tcPr>
            <w:tcW w:w="198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经费控制情况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年预算数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三公经费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　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3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1.62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1、公务用车购置和维护经费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其中：公车购置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   公车运行维护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2、出国经费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3、公务接待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　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　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项目支出：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356.86　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328.63　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180.28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1、业务工作经费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356.86　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328.63　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180.28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其中：①委员活动经费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②重点课题调研经费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③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文史资料及湘声报订阅等经费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④提案经费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⑤政协委员工作室经费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27.61（其中56.39二次分配拨付给16个街道）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⑥区重大会议、活动等经费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185.86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⑦提前退休人员经费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69.63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列入基本支出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⑧退休人员职业年金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列入基本支出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2、运行维护经费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3、专项资金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（一个专项一行）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4、其他事业类发展资金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……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公用经费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130　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109.55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其中：办公费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27　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18.53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水费、电费、差旅费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　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3.14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会议费、培训费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　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0.61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政府采购金额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部门基本支出预算调整 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22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06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楼堂馆所控制情况</w:t>
            </w:r>
            <w:r>
              <w:rPr>
                <w:rFonts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kern w:val="0"/>
                <w:sz w:val="21"/>
                <w:szCs w:val="21"/>
              </w:rPr>
              <w:t>（20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1"/>
                <w:szCs w:val="21"/>
              </w:rPr>
              <w:t>年完工项目）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wordWrap w:val="0"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批复规模（</w:t>
            </w:r>
            <w:r>
              <w:rPr>
                <w:rFonts w:eastAsia="Batang"/>
                <w:bCs/>
                <w:kern w:val="0"/>
                <w:sz w:val="21"/>
                <w:szCs w:val="21"/>
              </w:rPr>
              <w:t>㎡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wordWrap w:val="0"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实际规模（</w:t>
            </w:r>
            <w:r>
              <w:rPr>
                <w:rFonts w:eastAsia="Batang"/>
                <w:bCs/>
                <w:kern w:val="0"/>
                <w:sz w:val="21"/>
                <w:szCs w:val="21"/>
              </w:rPr>
              <w:t>㎡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规模控制率</w:t>
            </w: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（理想值≤1）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预算投资（万元）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实际投资（万元）</w:t>
            </w:r>
          </w:p>
        </w:tc>
        <w:tc>
          <w:tcPr>
            <w:tcW w:w="1299" w:type="dxa"/>
            <w:noWrap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投资概算控制率</w:t>
            </w: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（理想值≤1）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2" w:type="dxa"/>
            <w:vMerge w:val="continue"/>
            <w:noWrap/>
            <w:vAlign w:val="center"/>
          </w:tcPr>
          <w:p/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06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厉行节约保障措施</w:t>
            </w:r>
          </w:p>
        </w:tc>
        <w:tc>
          <w:tcPr>
            <w:tcW w:w="6402" w:type="dxa"/>
            <w:gridSpan w:val="6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一是统一思想，提高认识；二是建立机制，明确责任，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坚持从机制体制入手，发挥财政调控功能，在源头上控制开支，减少浪费。完善财政预算约束机制，实现财政预算精细化管理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spacing w:line="36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仿宋_GB2312"/>
          <w:kern w:val="0"/>
          <w:sz w:val="22"/>
        </w:rPr>
        <w:t>说明：“项目支出”需要填报基本支出以外的所有项目支出情况，“公用经费”填报基本支出中的一般商品和服务支出。</w:t>
      </w:r>
      <w:r>
        <w:rPr>
          <w:rFonts w:eastAsia="仿宋_GB2312"/>
          <w:kern w:val="0"/>
          <w:sz w:val="22"/>
        </w:rPr>
        <w:br w:type="page"/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部门整体支出绩效自评表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5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95"/>
        <w:gridCol w:w="1016"/>
        <w:gridCol w:w="1134"/>
        <w:gridCol w:w="311"/>
        <w:gridCol w:w="964"/>
        <w:gridCol w:w="899"/>
        <w:gridCol w:w="689"/>
        <w:gridCol w:w="1645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区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级预算部门名称</w:t>
            </w:r>
          </w:p>
        </w:tc>
        <w:tc>
          <w:tcPr>
            <w:tcW w:w="9243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中国人民政治协商会议长沙市开福区委员会办公室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算申请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411" w:type="dxa"/>
            <w:gridSpan w:val="2"/>
            <w:tcBorders>
              <w:tl2br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预算数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全年预算数</w:t>
            </w:r>
            <w:r>
              <w:rPr>
                <w:rFonts w:hint="eastAsia" w:eastAsia="仿宋_GB2312"/>
                <w:sz w:val="21"/>
                <w:szCs w:val="21"/>
              </w:rPr>
              <w:t>（含当年预算调整数）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6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241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1611.85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1611.85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1654.98</w:t>
            </w:r>
          </w:p>
        </w:tc>
        <w:tc>
          <w:tcPr>
            <w:tcW w:w="6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51.34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%</w:t>
            </w:r>
          </w:p>
        </w:tc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482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442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482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 xml:space="preserve">  其中：  一般公共预算：</w:t>
            </w:r>
          </w:p>
        </w:tc>
        <w:tc>
          <w:tcPr>
            <w:tcW w:w="442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其中：基本支出：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1474.7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482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840" w:firstLineChars="4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政府性基金拨款：</w:t>
            </w:r>
          </w:p>
        </w:tc>
        <w:tc>
          <w:tcPr>
            <w:tcW w:w="442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项目支出：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180.28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482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442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482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470" w:firstLineChars="7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其他资金：</w:t>
            </w:r>
          </w:p>
        </w:tc>
        <w:tc>
          <w:tcPr>
            <w:tcW w:w="442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8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82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2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482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以习近平新时代中国特色社会主义思想为指导，深入贯彻落实党的十九大、十九届二中、三中、四中、五中、六中全会精神和中央政协工作会议精神，全面贯彻全国、省、市政协会议和省、市、区党代会精神，紧紧围绕区委“高擎发展火炬，奋力迈向北强”发展战略，牢牢把握团结和民主两大主题，提高政治协商、民主监督、参政议政水平，更好凝聚共识，坚定政治意识、深化工作创新、拓展工作领域，切实发挥服务大局、建言献策、汇聚力量的重要作用，为建设“强盛、魅力、幸福、和谐”的现代化新开福贡献政协力量，以优异的工作成绩向党的二十大献礼。</w:t>
            </w:r>
          </w:p>
        </w:tc>
        <w:tc>
          <w:tcPr>
            <w:tcW w:w="442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在中共开福区委的坚强领导下，区政协六届常委会始终保持“永远在一线”的干事激情和创业氛围，团结带领政协各参加单位和全体政协委员，深入学习贯彻中共二十大精神，紧紧围绕区委决策部署和战略目标，树牢“一线”意识、确立“一线”标杆、保持“一线”状态、强化“一线”担当，在助力区委疫情防控、经济发展、安全稳定、民生实事上做到了履职有担当、落实有抓手、创新有品牌、工作有成效，以实干实绩交出了政协在政治之年的优异答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8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3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6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38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139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0分)</w:t>
            </w:r>
          </w:p>
        </w:tc>
        <w:tc>
          <w:tcPr>
            <w:tcW w:w="101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订阅文史资料及政协报刊</w:t>
            </w:r>
          </w:p>
        </w:tc>
        <w:tc>
          <w:tcPr>
            <w:tcW w:w="96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706份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706份</w:t>
            </w:r>
          </w:p>
        </w:tc>
        <w:tc>
          <w:tcPr>
            <w:tcW w:w="6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1395" w:type="dxa"/>
            <w:vMerge w:val="continue"/>
            <w:noWrap/>
            <w:vAlign w:val="center"/>
          </w:tcPr>
          <w:p/>
        </w:tc>
        <w:tc>
          <w:tcPr>
            <w:tcW w:w="1016" w:type="dxa"/>
            <w:vMerge w:val="continue"/>
            <w:noWrap/>
            <w:vAlign w:val="center"/>
          </w:tcPr>
          <w:p/>
        </w:tc>
        <w:tc>
          <w:tcPr>
            <w:tcW w:w="1445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下拨政协委员工作室经费</w:t>
            </w:r>
          </w:p>
        </w:tc>
        <w:tc>
          <w:tcPr>
            <w:tcW w:w="96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21个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21个</w:t>
            </w:r>
          </w:p>
        </w:tc>
        <w:tc>
          <w:tcPr>
            <w:tcW w:w="6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1395" w:type="dxa"/>
            <w:vMerge w:val="continue"/>
            <w:noWrap/>
            <w:vAlign w:val="center"/>
          </w:tcPr>
          <w:p/>
        </w:tc>
        <w:tc>
          <w:tcPr>
            <w:tcW w:w="1016" w:type="dxa"/>
            <w:vMerge w:val="continue"/>
            <w:noWrap/>
            <w:vAlign w:val="center"/>
          </w:tcPr>
          <w:p/>
        </w:tc>
        <w:tc>
          <w:tcPr>
            <w:tcW w:w="1445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政协委员文体活动、人文关怀</w:t>
            </w:r>
          </w:p>
        </w:tc>
        <w:tc>
          <w:tcPr>
            <w:tcW w:w="96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215人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215人</w:t>
            </w:r>
          </w:p>
        </w:tc>
        <w:tc>
          <w:tcPr>
            <w:tcW w:w="6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1395" w:type="dxa"/>
            <w:vMerge w:val="continue"/>
            <w:noWrap/>
            <w:vAlign w:val="center"/>
          </w:tcPr>
          <w:p/>
        </w:tc>
        <w:tc>
          <w:tcPr>
            <w:tcW w:w="1016" w:type="dxa"/>
            <w:vMerge w:val="continue"/>
            <w:noWrap/>
            <w:vAlign w:val="center"/>
          </w:tcPr>
          <w:p/>
        </w:tc>
        <w:tc>
          <w:tcPr>
            <w:tcW w:w="1445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重点提案督办</w:t>
            </w:r>
          </w:p>
        </w:tc>
        <w:tc>
          <w:tcPr>
            <w:tcW w:w="96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委员提案中精选6件作为重点提案进行督办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6件</w:t>
            </w:r>
          </w:p>
        </w:tc>
        <w:tc>
          <w:tcPr>
            <w:tcW w:w="6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1395" w:type="dxa"/>
            <w:vMerge w:val="continue"/>
            <w:noWrap/>
            <w:vAlign w:val="center"/>
          </w:tcPr>
          <w:p/>
        </w:tc>
        <w:tc>
          <w:tcPr>
            <w:tcW w:w="1016" w:type="dxa"/>
            <w:vMerge w:val="continue"/>
            <w:noWrap/>
            <w:vAlign w:val="center"/>
          </w:tcPr>
          <w:p/>
        </w:tc>
        <w:tc>
          <w:tcPr>
            <w:tcW w:w="1445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重点课题调研</w:t>
            </w:r>
          </w:p>
        </w:tc>
        <w:tc>
          <w:tcPr>
            <w:tcW w:w="96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全年召开5次专题协商、5次主席会议视察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10次</w:t>
            </w:r>
          </w:p>
        </w:tc>
        <w:tc>
          <w:tcPr>
            <w:tcW w:w="6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1395" w:type="dxa"/>
            <w:vMerge w:val="continue"/>
            <w:noWrap/>
            <w:vAlign w:val="center"/>
          </w:tcPr>
          <w:p/>
        </w:tc>
        <w:tc>
          <w:tcPr>
            <w:tcW w:w="1016" w:type="dxa"/>
            <w:vMerge w:val="continue"/>
            <w:noWrap/>
            <w:vAlign w:val="center"/>
          </w:tcPr>
          <w:p/>
        </w:tc>
        <w:tc>
          <w:tcPr>
            <w:tcW w:w="1445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政协会议</w:t>
            </w:r>
          </w:p>
        </w:tc>
        <w:tc>
          <w:tcPr>
            <w:tcW w:w="96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全年召开两次政协全会、5次常委会，各委办按季度召开工作例会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35次</w:t>
            </w:r>
          </w:p>
        </w:tc>
        <w:tc>
          <w:tcPr>
            <w:tcW w:w="6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1395" w:type="dxa"/>
            <w:vMerge w:val="continue"/>
            <w:noWrap/>
            <w:vAlign w:val="center"/>
          </w:tcPr>
          <w:p/>
        </w:tc>
        <w:tc>
          <w:tcPr>
            <w:tcW w:w="101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重点工作任务完成率</w:t>
            </w:r>
          </w:p>
        </w:tc>
        <w:tc>
          <w:tcPr>
            <w:tcW w:w="96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  <w:tc>
          <w:tcPr>
            <w:tcW w:w="6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1395" w:type="dxa"/>
            <w:vMerge w:val="continue"/>
            <w:noWrap/>
            <w:vAlign w:val="center"/>
          </w:tcPr>
          <w:p/>
        </w:tc>
        <w:tc>
          <w:tcPr>
            <w:tcW w:w="1016" w:type="dxa"/>
            <w:vMerge w:val="continue"/>
            <w:noWrap/>
            <w:vAlign w:val="center"/>
          </w:tcPr>
          <w:p/>
        </w:tc>
        <w:tc>
          <w:tcPr>
            <w:tcW w:w="1445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履职目标实现率</w:t>
            </w:r>
          </w:p>
        </w:tc>
        <w:tc>
          <w:tcPr>
            <w:tcW w:w="96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  <w:tc>
          <w:tcPr>
            <w:tcW w:w="6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1395" w:type="dxa"/>
            <w:vMerge w:val="continue"/>
            <w:noWrap/>
            <w:vAlign w:val="center"/>
          </w:tcPr>
          <w:p/>
        </w:tc>
        <w:tc>
          <w:tcPr>
            <w:tcW w:w="10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2022年度内完成本单位年度工作目标</w:t>
            </w:r>
          </w:p>
        </w:tc>
        <w:tc>
          <w:tcPr>
            <w:tcW w:w="96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6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139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jc w:val="center"/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1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保障政协委员履职服务</w:t>
            </w:r>
          </w:p>
        </w:tc>
        <w:tc>
          <w:tcPr>
            <w:tcW w:w="96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有效保障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有效保障</w:t>
            </w:r>
          </w:p>
        </w:tc>
        <w:tc>
          <w:tcPr>
            <w:tcW w:w="6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1395" w:type="dxa"/>
            <w:vMerge w:val="continue"/>
            <w:noWrap/>
            <w:vAlign w:val="center"/>
          </w:tcPr>
          <w:p/>
        </w:tc>
        <w:tc>
          <w:tcPr>
            <w:tcW w:w="1016" w:type="dxa"/>
            <w:vMerge w:val="continue"/>
            <w:noWrap/>
            <w:vAlign w:val="center"/>
          </w:tcPr>
          <w:p/>
        </w:tc>
        <w:tc>
          <w:tcPr>
            <w:tcW w:w="1445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推进政协委员联系群众建设</w:t>
            </w:r>
          </w:p>
        </w:tc>
        <w:tc>
          <w:tcPr>
            <w:tcW w:w="96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推进建设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推进建设</w:t>
            </w:r>
          </w:p>
        </w:tc>
        <w:tc>
          <w:tcPr>
            <w:tcW w:w="6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1395" w:type="dxa"/>
            <w:vMerge w:val="continue"/>
            <w:noWrap/>
            <w:vAlign w:val="center"/>
          </w:tcPr>
          <w:p/>
        </w:tc>
        <w:tc>
          <w:tcPr>
            <w:tcW w:w="10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项目对于社会可持续效果良好程度</w:t>
            </w:r>
          </w:p>
        </w:tc>
        <w:tc>
          <w:tcPr>
            <w:tcW w:w="96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6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/>
        </w:tc>
        <w:tc>
          <w:tcPr>
            <w:tcW w:w="13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96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6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51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6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rPr>
          <w:rFonts w:hint="eastAsia" w:ascii="Times New Roman" w:hAnsi="Times New Roman"/>
        </w:rPr>
      </w:pPr>
    </w:p>
    <w:p>
      <w:pPr>
        <w:pStyle w:val="2"/>
        <w:rPr>
          <w:rFonts w:hint="eastAsia" w:eastAsia="仿宋_GB231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9DE426E-4D93-4A14-A48E-0BE449C501C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4B9B7CF-24DF-4A27-B1D1-80905414206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CC226611-1F21-44F9-B83F-5B4324E25C2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8B93750E-A0BB-4CAE-8158-6217073083A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B5D0A103-9E09-4EA8-9FDB-DB92F54C6C5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A74A5E76-8BC0-431F-BB7B-955982EBE0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E79E4FC6-A9D3-4F92-9742-95C3DE8EE9E6}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  <w:embedRegular r:id="rId8" w:fontKey="{6E66B699-925B-46B2-A196-18A22ACC8D2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5761D"/>
    <w:multiLevelType w:val="singleLevel"/>
    <w:tmpl w:val="1305761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C614F8B"/>
    <w:multiLevelType w:val="singleLevel"/>
    <w:tmpl w:val="3C614F8B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C6E66CC"/>
    <w:multiLevelType w:val="singleLevel"/>
    <w:tmpl w:val="7C6E66C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MWNiOTU2ZmM5YWJhMmViZjM2YWY1OWQ1MmJhNTIifQ=="/>
  </w:docVars>
  <w:rsids>
    <w:rsidRoot w:val="548F4A65"/>
    <w:rsid w:val="10394E5A"/>
    <w:rsid w:val="29FD72C6"/>
    <w:rsid w:val="3A6B0E4E"/>
    <w:rsid w:val="3F24587C"/>
    <w:rsid w:val="434F6492"/>
    <w:rsid w:val="548F4A65"/>
    <w:rsid w:val="729B11FC"/>
    <w:rsid w:val="77F17881"/>
    <w:rsid w:val="7BE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kern w:val="0"/>
    </w:rPr>
  </w:style>
  <w:style w:type="paragraph" w:styleId="3">
    <w:name w:val="Body Text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paragraph" w:customStyle="1" w:styleId="7">
    <w:name w:val="List Paragraph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8007</Words>
  <Characters>8741</Characters>
  <Lines>0</Lines>
  <Paragraphs>0</Paragraphs>
  <TotalTime>190</TotalTime>
  <ScaleCrop>false</ScaleCrop>
  <LinksUpToDate>false</LinksUpToDate>
  <CharactersWithSpaces>9032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2023-04-23T02:57:00Z</dcterms:created>
  <dc:creator>Vi_she</dc:creator>
  <cp:lastModifiedBy>吴星儀</cp:lastModifiedBy>
  <cp:lastPrinted>2023-10-16T09:10:38Z</cp:lastPrinted>
  <dcterms:modified xsi:type="dcterms:W3CDTF">2023-10-16T09:14:03Z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2B7F50ED0F124E7ABDD2B5C494D74E58_13</vt:lpwstr>
  </property>
</Properties>
</file>