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_GBK" w:hAnsi="方正小标宋_GBK" w:eastAsia="方正小标宋_GBK" w:cs="方正小标宋_GBK"/>
          <w:kern w:val="0"/>
          <w:sz w:val="44"/>
          <w:szCs w:val="44"/>
          <w:lang w:bidi="ar-SA"/>
        </w:rPr>
      </w:pPr>
      <w:r>
        <w:rPr>
          <w:rFonts w:hint="eastAsia" w:ascii="方正小标宋_GBK" w:hAnsi="方正小标宋_GBK" w:eastAsia="方正小标宋_GBK" w:cs="方正小标宋_GBK"/>
          <w:color w:val="000000"/>
          <w:sz w:val="44"/>
          <w:szCs w:val="44"/>
          <w:lang w:eastAsia="zh-CN"/>
        </w:rPr>
        <w:t>重点项目绩效自评报告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lang w:bidi="ar-SA"/>
        </w:rPr>
      </w:pPr>
      <w:r>
        <w:rPr>
          <w:rFonts w:ascii="Times New Roman" w:hAnsi="Times New Roman" w:eastAsia="黑体" w:cs="Times New Roman"/>
          <w:sz w:val="32"/>
          <w:szCs w:val="32"/>
          <w:lang w:bidi="ar-SA"/>
        </w:rPr>
        <w:t>一、</w:t>
      </w:r>
      <w:r>
        <w:rPr>
          <w:rFonts w:hint="eastAsia" w:ascii="Times New Roman" w:hAnsi="Times New Roman" w:eastAsia="黑体" w:cs="Times New Roman"/>
          <w:sz w:val="32"/>
          <w:szCs w:val="32"/>
          <w:lang w:eastAsia="zh-CN" w:bidi="ar-SA"/>
        </w:rPr>
        <w:t>项目支出</w:t>
      </w:r>
      <w:r>
        <w:rPr>
          <w:rFonts w:ascii="Times New Roman" w:hAnsi="Times New Roman" w:eastAsia="黑体" w:cs="Times New Roman"/>
          <w:sz w:val="32"/>
          <w:szCs w:val="32"/>
          <w:lang w:bidi="ar-SA"/>
        </w:rPr>
        <w:t>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cs="Times New Roman"/>
          <w:bCs/>
          <w:sz w:val="32"/>
          <w:szCs w:val="32"/>
          <w:lang w:bidi="ar-SA"/>
        </w:rPr>
      </w:pPr>
      <w:r>
        <w:rPr>
          <w:rFonts w:ascii="Times New Roman" w:hAnsi="Times New Roman" w:eastAsia="楷体_GB2312" w:cs="Times New Roman"/>
          <w:bCs/>
          <w:sz w:val="32"/>
          <w:szCs w:val="32"/>
          <w:lang w:bidi="ar-SA"/>
        </w:rPr>
        <w:t>（一）</w:t>
      </w:r>
      <w:r>
        <w:rPr>
          <w:rFonts w:hint="eastAsia" w:ascii="Times New Roman" w:hAnsi="Times New Roman" w:eastAsia="楷体_GB2312" w:cs="Times New Roman"/>
          <w:bCs/>
          <w:sz w:val="32"/>
          <w:szCs w:val="32"/>
          <w:lang w:eastAsia="zh-CN" w:bidi="ar-SA"/>
        </w:rPr>
        <w:t>项目支出</w:t>
      </w:r>
      <w:r>
        <w:rPr>
          <w:rFonts w:ascii="Times New Roman" w:hAnsi="Times New Roman" w:eastAsia="楷体_GB2312" w:cs="Times New Roman"/>
          <w:bCs/>
          <w:sz w:val="32"/>
          <w:szCs w:val="32"/>
          <w:lang w:bidi="ar-SA"/>
        </w:rPr>
        <w:t>资金概况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sz w:val="32"/>
          <w:szCs w:val="32"/>
          <w:lang w:val="en-US" w:eastAsia="zh-CN" w:bidi="ar-SA"/>
        </w:rPr>
      </w:pPr>
      <w:r>
        <w:rPr>
          <w:rFonts w:hint="default" w:ascii="Times New Roman" w:hAnsi="Times New Roman" w:cs="Times New Roman"/>
          <w:sz w:val="32"/>
          <w:szCs w:val="32"/>
          <w:lang w:val="en-US" w:eastAsia="zh-CN" w:bidi="ar-SA"/>
        </w:rPr>
        <w:t>2021</w:t>
      </w:r>
      <w:r>
        <w:rPr>
          <w:rFonts w:hint="eastAsia" w:ascii="Times New Roman" w:hAnsi="Times New Roman" w:cs="Times New Roman"/>
          <w:sz w:val="32"/>
          <w:szCs w:val="32"/>
          <w:lang w:val="en-US" w:eastAsia="zh-CN" w:bidi="ar-SA"/>
        </w:rPr>
        <w:t>年我单位项目支出预算共</w:t>
      </w:r>
      <w:r>
        <w:rPr>
          <w:rFonts w:hint="eastAsia" w:ascii="Times New Roman" w:hAnsi="Times New Roman" w:cs="Times New Roman"/>
          <w:sz w:val="32"/>
          <w:szCs w:val="32"/>
          <w:u w:val="single"/>
          <w:lang w:val="en-US" w:eastAsia="zh-CN" w:bidi="ar-SA"/>
        </w:rPr>
        <w:t xml:space="preserve"> </w:t>
      </w:r>
      <w:r>
        <w:rPr>
          <w:rFonts w:hint="eastAsia" w:cs="Times New Roman"/>
          <w:sz w:val="32"/>
          <w:szCs w:val="32"/>
          <w:u w:val="single"/>
          <w:lang w:val="en-US" w:eastAsia="zh-CN" w:bidi="ar-SA"/>
        </w:rPr>
        <w:t>171</w:t>
      </w:r>
      <w:r>
        <w:rPr>
          <w:rFonts w:hint="eastAsia" w:ascii="Times New Roman" w:hAnsi="Times New Roman" w:cs="Times New Roman"/>
          <w:sz w:val="32"/>
          <w:szCs w:val="32"/>
          <w:u w:val="single"/>
          <w:lang w:val="en-US" w:eastAsia="zh-CN" w:bidi="ar-SA"/>
        </w:rPr>
        <w:t xml:space="preserve"> </w:t>
      </w:r>
      <w:r>
        <w:rPr>
          <w:rFonts w:hint="eastAsia" w:ascii="Times New Roman" w:hAnsi="Times New Roman" w:cs="Times New Roman"/>
          <w:sz w:val="32"/>
          <w:szCs w:val="32"/>
          <w:lang w:val="en-US" w:eastAsia="zh-CN" w:bidi="ar-SA"/>
        </w:rPr>
        <w:t>万元，包含项目</w:t>
      </w:r>
      <w:r>
        <w:rPr>
          <w:rFonts w:hint="eastAsia" w:ascii="Times New Roman" w:hAnsi="Times New Roman" w:cs="Times New Roman"/>
          <w:sz w:val="32"/>
          <w:szCs w:val="32"/>
          <w:u w:val="single"/>
          <w:lang w:val="en-US" w:eastAsia="zh-CN" w:bidi="ar-SA"/>
        </w:rPr>
        <w:t xml:space="preserve"> </w:t>
      </w:r>
      <w:r>
        <w:rPr>
          <w:rFonts w:hint="eastAsia" w:cs="Times New Roman"/>
          <w:sz w:val="32"/>
          <w:szCs w:val="32"/>
          <w:u w:val="single"/>
          <w:lang w:val="en-US" w:eastAsia="zh-CN" w:bidi="ar-SA"/>
        </w:rPr>
        <w:t>4</w:t>
      </w:r>
      <w:r>
        <w:rPr>
          <w:rFonts w:hint="eastAsia" w:ascii="Times New Roman" w:hAnsi="Times New Roman" w:cs="Times New Roman"/>
          <w:sz w:val="32"/>
          <w:szCs w:val="32"/>
          <w:u w:val="single"/>
          <w:lang w:val="en-US" w:eastAsia="zh-CN" w:bidi="ar-SA"/>
        </w:rPr>
        <w:t xml:space="preserve"> </w:t>
      </w:r>
      <w:r>
        <w:rPr>
          <w:rFonts w:hint="eastAsia" w:ascii="Times New Roman" w:hAnsi="Times New Roman" w:cs="Times New Roman"/>
          <w:sz w:val="32"/>
          <w:szCs w:val="32"/>
          <w:u w:val="none"/>
          <w:lang w:val="en-US" w:eastAsia="zh-CN" w:bidi="ar-SA"/>
        </w:rPr>
        <w:t>个，实际支出</w:t>
      </w:r>
      <w:r>
        <w:rPr>
          <w:rFonts w:hint="eastAsia" w:ascii="Times New Roman" w:hAnsi="Times New Roman" w:cs="Times New Roman"/>
          <w:sz w:val="32"/>
          <w:szCs w:val="32"/>
          <w:u w:val="single"/>
          <w:lang w:val="en-US" w:eastAsia="zh-CN" w:bidi="ar-SA"/>
        </w:rPr>
        <w:t xml:space="preserve"> </w:t>
      </w:r>
      <w:r>
        <w:rPr>
          <w:rFonts w:hint="eastAsia" w:cs="Times New Roman"/>
          <w:sz w:val="32"/>
          <w:szCs w:val="32"/>
          <w:u w:val="single"/>
          <w:lang w:val="en-US" w:eastAsia="zh-CN" w:bidi="ar-SA"/>
        </w:rPr>
        <w:t>356.86</w:t>
      </w:r>
      <w:r>
        <w:rPr>
          <w:rFonts w:hint="eastAsia" w:ascii="Times New Roman" w:hAnsi="Times New Roman" w:cs="Times New Roman"/>
          <w:sz w:val="32"/>
          <w:szCs w:val="32"/>
          <w:u w:val="single"/>
          <w:lang w:val="en-US" w:eastAsia="zh-CN" w:bidi="ar-SA"/>
        </w:rPr>
        <w:t xml:space="preserve"> </w:t>
      </w:r>
      <w:r>
        <w:rPr>
          <w:rFonts w:hint="eastAsia" w:ascii="Times New Roman" w:hAnsi="Times New Roman" w:cs="Times New Roman"/>
          <w:sz w:val="32"/>
          <w:szCs w:val="32"/>
          <w:lang w:val="en-US" w:eastAsia="zh-CN" w:bidi="ar-SA"/>
        </w:rPr>
        <w:t>万元（</w:t>
      </w:r>
      <w:r>
        <w:rPr>
          <w:rFonts w:hint="eastAsia" w:ascii="Times New Roman" w:hAnsi="Times New Roman" w:cs="Times New Roman"/>
          <w:sz w:val="32"/>
          <w:szCs w:val="32"/>
          <w:lang w:eastAsia="zh-CN" w:bidi="ar-SA"/>
        </w:rPr>
        <w:t>业务工作经费</w:t>
      </w:r>
      <w:r>
        <w:rPr>
          <w:rFonts w:hint="eastAsia" w:ascii="Times New Roman" w:hAnsi="Times New Roman" w:cs="Times New Roman"/>
          <w:sz w:val="32"/>
          <w:szCs w:val="32"/>
          <w:u w:val="single"/>
          <w:lang w:val="en-US" w:eastAsia="zh-CN" w:bidi="ar-SA"/>
        </w:rPr>
        <w:t xml:space="preserve"> </w:t>
      </w:r>
      <w:r>
        <w:rPr>
          <w:rFonts w:hint="eastAsia" w:cs="Times New Roman"/>
          <w:sz w:val="32"/>
          <w:szCs w:val="32"/>
          <w:u w:val="single"/>
          <w:lang w:val="en-US" w:eastAsia="zh-CN" w:bidi="ar-SA"/>
        </w:rPr>
        <w:t>0</w:t>
      </w:r>
      <w:r>
        <w:rPr>
          <w:rFonts w:hint="eastAsia" w:ascii="Times New Roman" w:hAnsi="Times New Roman" w:cs="Times New Roman"/>
          <w:sz w:val="32"/>
          <w:szCs w:val="32"/>
          <w:u w:val="single"/>
          <w:lang w:val="en-US" w:eastAsia="zh-CN" w:bidi="ar-SA"/>
        </w:rPr>
        <w:t xml:space="preserve"> </w:t>
      </w:r>
      <w:r>
        <w:rPr>
          <w:rFonts w:hint="eastAsia" w:ascii="Times New Roman" w:hAnsi="Times New Roman" w:cs="Times New Roman"/>
          <w:sz w:val="32"/>
          <w:szCs w:val="32"/>
          <w:lang w:val="en-US" w:eastAsia="zh-CN" w:bidi="ar-SA"/>
        </w:rPr>
        <w:t>万元、专项经费</w:t>
      </w:r>
      <w:r>
        <w:rPr>
          <w:rFonts w:hint="eastAsia" w:ascii="Times New Roman" w:hAnsi="Times New Roman" w:cs="Times New Roman"/>
          <w:sz w:val="32"/>
          <w:szCs w:val="32"/>
          <w:u w:val="single"/>
          <w:lang w:val="en-US" w:eastAsia="zh-CN" w:bidi="ar-SA"/>
        </w:rPr>
        <w:t xml:space="preserve"> </w:t>
      </w:r>
      <w:r>
        <w:rPr>
          <w:rFonts w:hint="eastAsia" w:cs="Times New Roman"/>
          <w:sz w:val="32"/>
          <w:szCs w:val="32"/>
          <w:u w:val="single"/>
          <w:lang w:val="en-US" w:eastAsia="zh-CN" w:bidi="ar-SA"/>
        </w:rPr>
        <w:t xml:space="preserve">356.86 </w:t>
      </w:r>
      <w:r>
        <w:rPr>
          <w:rFonts w:hint="eastAsia" w:ascii="Times New Roman" w:hAnsi="Times New Roman" w:cs="Times New Roman"/>
          <w:sz w:val="32"/>
          <w:szCs w:val="32"/>
          <w:u w:val="single"/>
          <w:lang w:val="en-US" w:eastAsia="zh-CN" w:bidi="ar-SA"/>
        </w:rPr>
        <w:t xml:space="preserve"> </w:t>
      </w:r>
      <w:r>
        <w:rPr>
          <w:rFonts w:hint="eastAsia" w:ascii="Times New Roman" w:hAnsi="Times New Roman" w:cs="Times New Roman"/>
          <w:sz w:val="32"/>
          <w:szCs w:val="32"/>
          <w:lang w:val="en-US" w:eastAsia="zh-CN" w:bidi="ar-SA"/>
        </w:rPr>
        <w:t>万元、政府专项经费</w:t>
      </w:r>
      <w:r>
        <w:rPr>
          <w:rFonts w:hint="eastAsia" w:ascii="Times New Roman" w:hAnsi="Times New Roman" w:cs="Times New Roman"/>
          <w:sz w:val="32"/>
          <w:szCs w:val="32"/>
          <w:u w:val="single"/>
          <w:lang w:val="en-US" w:eastAsia="zh-CN" w:bidi="ar-SA"/>
        </w:rPr>
        <w:t xml:space="preserve"> </w:t>
      </w:r>
      <w:r>
        <w:rPr>
          <w:rFonts w:hint="eastAsia" w:cs="Times New Roman"/>
          <w:sz w:val="32"/>
          <w:szCs w:val="32"/>
          <w:u w:val="single"/>
          <w:lang w:val="en-US" w:eastAsia="zh-CN" w:bidi="ar-SA"/>
        </w:rPr>
        <w:t>0</w:t>
      </w:r>
      <w:r>
        <w:rPr>
          <w:rFonts w:hint="eastAsia" w:ascii="Times New Roman" w:hAnsi="Times New Roman" w:cs="Times New Roman"/>
          <w:sz w:val="32"/>
          <w:szCs w:val="32"/>
          <w:u w:val="single"/>
          <w:lang w:val="en-US" w:eastAsia="zh-CN" w:bidi="ar-SA"/>
        </w:rPr>
        <w:t xml:space="preserve"> </w:t>
      </w:r>
      <w:r>
        <w:rPr>
          <w:rFonts w:hint="eastAsia" w:ascii="Times New Roman" w:hAnsi="Times New Roman" w:cs="Times New Roman"/>
          <w:sz w:val="32"/>
          <w:szCs w:val="32"/>
          <w:lang w:val="en-US" w:eastAsia="zh-CN" w:bidi="ar-SA"/>
        </w:rPr>
        <w:t>万元），涵盖项目</w:t>
      </w:r>
      <w:r>
        <w:rPr>
          <w:rFonts w:hint="eastAsia" w:ascii="Times New Roman" w:hAnsi="Times New Roman" w:cs="Times New Roman"/>
          <w:sz w:val="32"/>
          <w:szCs w:val="32"/>
          <w:u w:val="single"/>
          <w:lang w:val="en-US" w:eastAsia="zh-CN" w:bidi="ar-SA"/>
        </w:rPr>
        <w:t xml:space="preserve"> </w:t>
      </w:r>
      <w:r>
        <w:rPr>
          <w:rFonts w:hint="eastAsia" w:cs="Times New Roman"/>
          <w:sz w:val="32"/>
          <w:szCs w:val="32"/>
          <w:u w:val="single"/>
          <w:lang w:val="en-US" w:eastAsia="zh-CN" w:bidi="ar-SA"/>
        </w:rPr>
        <w:t>5</w:t>
      </w:r>
      <w:r>
        <w:rPr>
          <w:rFonts w:hint="eastAsia" w:ascii="Times New Roman" w:hAnsi="Times New Roman" w:cs="Times New Roman"/>
          <w:sz w:val="32"/>
          <w:szCs w:val="32"/>
          <w:u w:val="single"/>
          <w:lang w:val="en-US" w:eastAsia="zh-CN" w:bidi="ar-SA"/>
        </w:rPr>
        <w:t xml:space="preserve"> </w:t>
      </w:r>
      <w:r>
        <w:rPr>
          <w:rFonts w:hint="eastAsia" w:ascii="Times New Roman" w:hAnsi="Times New Roman" w:cs="Times New Roman"/>
          <w:sz w:val="32"/>
          <w:szCs w:val="32"/>
          <w:u w:val="none"/>
          <w:lang w:val="en-US" w:eastAsia="zh-CN" w:bidi="ar-SA"/>
        </w:rPr>
        <w:t>个</w:t>
      </w:r>
      <w:r>
        <w:rPr>
          <w:rFonts w:hint="eastAsia" w:ascii="Times New Roman" w:hAnsi="Times New Roman" w:eastAsia="仿宋_GB2312" w:cs="Times New Roman"/>
          <w:sz w:val="32"/>
          <w:szCs w:val="32"/>
          <w:lang w:eastAsia="zh-CN" w:bidi="ar-SA"/>
        </w:rPr>
        <w:t>。</w:t>
      </w:r>
      <w:r>
        <w:rPr>
          <w:rFonts w:hint="eastAsia" w:ascii="Times New Roman" w:hAnsi="Times New Roman" w:cs="Times New Roman"/>
          <w:sz w:val="32"/>
          <w:szCs w:val="32"/>
          <w:lang w:val="en-US" w:eastAsia="zh-CN" w:bidi="ar-SA"/>
        </w:rPr>
        <w:t>具体情况如下：</w:t>
      </w:r>
    </w:p>
    <w:p>
      <w:pPr>
        <w:spacing w:line="660" w:lineRule="exact"/>
        <w:ind w:firstLine="480" w:firstLineChars="200"/>
        <w:jc w:val="right"/>
        <w:rPr>
          <w:rFonts w:hint="eastAsia" w:ascii="Times New Roman" w:hAnsi="Times New Roman" w:cs="Times New Roman"/>
          <w:sz w:val="32"/>
          <w:szCs w:val="32"/>
          <w:lang w:val="en-US" w:eastAsia="zh-CN" w:bidi="ar-SA"/>
        </w:rPr>
      </w:pPr>
      <w:r>
        <w:rPr>
          <w:rFonts w:hint="eastAsia" w:ascii="Times New Roman" w:hAnsi="Times New Roman" w:cs="Times New Roman"/>
          <w:sz w:val="24"/>
          <w:szCs w:val="24"/>
          <w:lang w:val="en-US" w:eastAsia="zh-CN" w:bidi="ar-SA"/>
        </w:rPr>
        <w:t>金额单位：万元</w:t>
      </w:r>
    </w:p>
    <w:tbl>
      <w:tblPr>
        <w:tblStyle w:val="5"/>
        <w:tblW w:w="9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4"/>
        <w:gridCol w:w="1074"/>
        <w:gridCol w:w="2135"/>
        <w:gridCol w:w="794"/>
        <w:gridCol w:w="1713"/>
        <w:gridCol w:w="1074"/>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074" w:type="dxa"/>
            <w:vMerge w:val="restart"/>
            <w:noWrap w:val="0"/>
            <w:vAlign w:val="center"/>
          </w:tcPr>
          <w:p>
            <w:pPr>
              <w:spacing w:line="240" w:lineRule="auto"/>
              <w:jc w:val="center"/>
              <w:rPr>
                <w:rFonts w:hint="eastAsia" w:ascii="Times New Roman" w:hAnsi="Times New Roman" w:cs="Times New Roman"/>
                <w:sz w:val="21"/>
                <w:szCs w:val="21"/>
                <w:vertAlign w:val="baseline"/>
                <w:lang w:val="en-US" w:eastAsia="zh-CN" w:bidi="ar-SA"/>
              </w:rPr>
            </w:pPr>
            <w:r>
              <w:rPr>
                <w:rFonts w:hint="eastAsia" w:ascii="Times New Roman" w:hAnsi="Times New Roman" w:cs="Times New Roman"/>
                <w:sz w:val="21"/>
                <w:szCs w:val="21"/>
                <w:vertAlign w:val="baseline"/>
                <w:lang w:val="en-US" w:eastAsia="zh-CN" w:bidi="ar-SA"/>
              </w:rPr>
              <w:t>项目名称</w:t>
            </w:r>
          </w:p>
        </w:tc>
        <w:tc>
          <w:tcPr>
            <w:tcW w:w="1074" w:type="dxa"/>
            <w:vMerge w:val="restart"/>
            <w:noWrap w:val="0"/>
            <w:vAlign w:val="center"/>
          </w:tcPr>
          <w:p>
            <w:pPr>
              <w:spacing w:line="240" w:lineRule="auto"/>
              <w:jc w:val="center"/>
              <w:rPr>
                <w:rFonts w:hint="eastAsia" w:ascii="Times New Roman" w:hAnsi="Times New Roman" w:cs="Times New Roman"/>
                <w:sz w:val="21"/>
                <w:szCs w:val="21"/>
                <w:vertAlign w:val="baseline"/>
                <w:lang w:val="en-US" w:eastAsia="zh-CN" w:bidi="ar-SA"/>
              </w:rPr>
            </w:pPr>
            <w:r>
              <w:rPr>
                <w:rFonts w:hint="eastAsia" w:ascii="Times New Roman" w:hAnsi="Times New Roman" w:cs="Times New Roman"/>
                <w:sz w:val="21"/>
                <w:szCs w:val="21"/>
                <w:vertAlign w:val="baseline"/>
                <w:lang w:val="en-US" w:eastAsia="zh-CN" w:bidi="ar-SA"/>
              </w:rPr>
              <w:t>项目类型</w:t>
            </w:r>
          </w:p>
        </w:tc>
        <w:tc>
          <w:tcPr>
            <w:tcW w:w="2135" w:type="dxa"/>
            <w:vMerge w:val="restart"/>
            <w:noWrap w:val="0"/>
            <w:vAlign w:val="center"/>
          </w:tcPr>
          <w:p>
            <w:pPr>
              <w:spacing w:line="240" w:lineRule="auto"/>
              <w:jc w:val="center"/>
              <w:rPr>
                <w:rFonts w:hint="eastAsia" w:ascii="Times New Roman" w:hAnsi="Times New Roman" w:cs="Times New Roman"/>
                <w:sz w:val="21"/>
                <w:szCs w:val="21"/>
                <w:vertAlign w:val="baseline"/>
                <w:lang w:val="en-US" w:eastAsia="zh-CN" w:bidi="ar-SA"/>
              </w:rPr>
            </w:pPr>
            <w:r>
              <w:rPr>
                <w:rFonts w:hint="eastAsia" w:ascii="Times New Roman" w:hAnsi="Times New Roman" w:cs="Times New Roman"/>
                <w:sz w:val="21"/>
                <w:szCs w:val="21"/>
                <w:vertAlign w:val="baseline"/>
                <w:lang w:val="en-US" w:eastAsia="zh-CN" w:bidi="ar-SA"/>
              </w:rPr>
              <w:t>资金用途、使用方向</w:t>
            </w:r>
          </w:p>
        </w:tc>
        <w:tc>
          <w:tcPr>
            <w:tcW w:w="2507" w:type="dxa"/>
            <w:gridSpan w:val="2"/>
            <w:noWrap w:val="0"/>
            <w:vAlign w:val="center"/>
          </w:tcPr>
          <w:p>
            <w:pPr>
              <w:spacing w:line="240" w:lineRule="auto"/>
              <w:jc w:val="center"/>
              <w:rPr>
                <w:rFonts w:hint="eastAsia" w:ascii="Times New Roman" w:hAnsi="Times New Roman" w:cs="Times New Roman"/>
                <w:sz w:val="21"/>
                <w:szCs w:val="21"/>
                <w:vertAlign w:val="baseline"/>
                <w:lang w:val="en-US" w:eastAsia="zh-CN" w:bidi="ar-SA"/>
              </w:rPr>
            </w:pPr>
            <w:r>
              <w:rPr>
                <w:rFonts w:hint="eastAsia" w:ascii="Times New Roman" w:hAnsi="Times New Roman" w:cs="Times New Roman"/>
                <w:sz w:val="21"/>
                <w:szCs w:val="21"/>
                <w:vertAlign w:val="baseline"/>
                <w:lang w:val="en-US" w:eastAsia="zh-CN" w:bidi="ar-SA"/>
              </w:rPr>
              <w:t>预算金额</w:t>
            </w:r>
          </w:p>
        </w:tc>
        <w:tc>
          <w:tcPr>
            <w:tcW w:w="2787" w:type="dxa"/>
            <w:gridSpan w:val="2"/>
            <w:noWrap w:val="0"/>
            <w:vAlign w:val="center"/>
          </w:tcPr>
          <w:p>
            <w:pPr>
              <w:spacing w:line="240" w:lineRule="auto"/>
              <w:jc w:val="center"/>
              <w:rPr>
                <w:rFonts w:hint="eastAsia" w:ascii="Times New Roman" w:hAnsi="Times New Roman" w:cs="Times New Roman"/>
                <w:sz w:val="21"/>
                <w:szCs w:val="21"/>
                <w:vertAlign w:val="baseline"/>
                <w:lang w:val="en-US" w:eastAsia="zh-CN" w:bidi="ar-SA"/>
              </w:rPr>
            </w:pPr>
            <w:r>
              <w:rPr>
                <w:rFonts w:hint="eastAsia" w:ascii="Times New Roman" w:hAnsi="Times New Roman" w:cs="Times New Roman"/>
                <w:sz w:val="21"/>
                <w:szCs w:val="21"/>
                <w:vertAlign w:val="baseline"/>
                <w:lang w:val="en-US" w:eastAsia="zh-CN" w:bidi="ar-SA"/>
              </w:rPr>
              <w:t>支出金额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74" w:type="dxa"/>
            <w:vMerge w:val="continue"/>
            <w:noWrap w:val="0"/>
            <w:vAlign w:val="center"/>
          </w:tcPr>
          <w:p/>
        </w:tc>
        <w:tc>
          <w:tcPr>
            <w:tcW w:w="1074" w:type="dxa"/>
            <w:vMerge w:val="continue"/>
            <w:noWrap w:val="0"/>
            <w:vAlign w:val="center"/>
          </w:tcPr>
          <w:p/>
        </w:tc>
        <w:tc>
          <w:tcPr>
            <w:tcW w:w="2135" w:type="dxa"/>
            <w:vMerge w:val="continue"/>
            <w:noWrap w:val="0"/>
            <w:vAlign w:val="center"/>
          </w:tcPr>
          <w:p/>
        </w:tc>
        <w:tc>
          <w:tcPr>
            <w:tcW w:w="794" w:type="dxa"/>
            <w:noWrap w:val="0"/>
            <w:vAlign w:val="center"/>
          </w:tcPr>
          <w:p>
            <w:pPr>
              <w:spacing w:line="240" w:lineRule="auto"/>
              <w:jc w:val="center"/>
              <w:rPr>
                <w:rFonts w:hint="eastAsia" w:ascii="Times New Roman" w:hAnsi="Times New Roman" w:cs="Times New Roman"/>
                <w:sz w:val="21"/>
                <w:szCs w:val="21"/>
                <w:vertAlign w:val="baseline"/>
                <w:lang w:val="en-US" w:eastAsia="zh-CN" w:bidi="ar-SA"/>
              </w:rPr>
            </w:pPr>
            <w:r>
              <w:rPr>
                <w:rFonts w:hint="eastAsia" w:ascii="Times New Roman" w:hAnsi="Times New Roman" w:cs="Times New Roman"/>
                <w:sz w:val="21"/>
                <w:szCs w:val="21"/>
                <w:vertAlign w:val="baseline"/>
                <w:lang w:val="en-US" w:eastAsia="zh-CN" w:bidi="ar-SA"/>
              </w:rPr>
              <w:t>指标</w:t>
            </w:r>
          </w:p>
          <w:p>
            <w:pPr>
              <w:spacing w:line="240" w:lineRule="auto"/>
              <w:jc w:val="center"/>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bidi="ar-SA"/>
              </w:rPr>
              <w:t>总额</w:t>
            </w:r>
          </w:p>
        </w:tc>
        <w:tc>
          <w:tcPr>
            <w:tcW w:w="1713" w:type="dxa"/>
            <w:noWrap w:val="0"/>
            <w:vAlign w:val="center"/>
          </w:tcPr>
          <w:p>
            <w:pPr>
              <w:spacing w:line="240" w:lineRule="auto"/>
              <w:jc w:val="center"/>
              <w:rPr>
                <w:rFonts w:hint="eastAsia" w:ascii="Times New Roman" w:hAnsi="Times New Roman" w:cs="Times New Roman"/>
                <w:sz w:val="21"/>
                <w:szCs w:val="21"/>
                <w:vertAlign w:val="baseline"/>
                <w:lang w:val="en-US" w:eastAsia="zh-CN" w:bidi="ar-SA"/>
              </w:rPr>
            </w:pPr>
            <w:r>
              <w:rPr>
                <w:rFonts w:hint="eastAsia" w:ascii="Times New Roman" w:hAnsi="Times New Roman" w:cs="Times New Roman"/>
                <w:sz w:val="21"/>
                <w:szCs w:val="21"/>
                <w:vertAlign w:val="baseline"/>
                <w:lang w:val="en-US" w:eastAsia="zh-CN" w:bidi="ar-SA"/>
              </w:rPr>
              <w:t>其中：区级资金</w:t>
            </w:r>
          </w:p>
        </w:tc>
        <w:tc>
          <w:tcPr>
            <w:tcW w:w="1074" w:type="dxa"/>
            <w:noWrap w:val="0"/>
            <w:vAlign w:val="center"/>
          </w:tcPr>
          <w:p>
            <w:pPr>
              <w:spacing w:line="240" w:lineRule="auto"/>
              <w:jc w:val="center"/>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bidi="ar-SA"/>
              </w:rPr>
              <w:t>支出总额</w:t>
            </w:r>
          </w:p>
        </w:tc>
        <w:tc>
          <w:tcPr>
            <w:tcW w:w="1713" w:type="dxa"/>
            <w:noWrap w:val="0"/>
            <w:vAlign w:val="center"/>
          </w:tcPr>
          <w:p>
            <w:pPr>
              <w:spacing w:line="240" w:lineRule="auto"/>
              <w:jc w:val="center"/>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bidi="ar-SA"/>
              </w:rPr>
              <w:t>其中：区级资金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074" w:type="dxa"/>
            <w:noWrap w:val="0"/>
            <w:vAlign w:val="center"/>
          </w:tcPr>
          <w:p>
            <w:pPr>
              <w:spacing w:line="240" w:lineRule="auto"/>
              <w:jc w:val="center"/>
              <w:rPr>
                <w:rFonts w:hint="default" w:ascii="Times New Roman" w:hAnsi="Times New Roman" w:cs="Times New Roman"/>
                <w:sz w:val="21"/>
                <w:szCs w:val="21"/>
                <w:vertAlign w:val="baseline"/>
                <w:lang w:val="en-US" w:eastAsia="zh-CN" w:bidi="ar-SA"/>
              </w:rPr>
            </w:pPr>
            <w:r>
              <w:rPr>
                <w:rFonts w:hint="eastAsia" w:ascii="Times New Roman" w:hAnsi="Times New Roman" w:cs="Times New Roman"/>
                <w:sz w:val="21"/>
                <w:szCs w:val="21"/>
                <w:vertAlign w:val="baseline"/>
                <w:lang w:val="en-US" w:eastAsia="zh-CN"/>
              </w:rPr>
              <w:t>委员活动项目</w:t>
            </w:r>
          </w:p>
        </w:tc>
        <w:tc>
          <w:tcPr>
            <w:tcW w:w="1074" w:type="dxa"/>
            <w:noWrap w:val="0"/>
            <w:vAlign w:val="center"/>
          </w:tcPr>
          <w:p>
            <w:pPr>
              <w:spacing w:line="240" w:lineRule="auto"/>
              <w:jc w:val="both"/>
              <w:rPr>
                <w:rFonts w:hint="eastAsia" w:ascii="Times New Roman" w:hAnsi="Times New Roman" w:cs="Times New Roman"/>
                <w:sz w:val="21"/>
                <w:szCs w:val="21"/>
                <w:vertAlign w:val="baseline"/>
                <w:lang w:val="en-US" w:eastAsia="zh-CN" w:bidi="ar-SA"/>
              </w:rPr>
            </w:pPr>
          </w:p>
        </w:tc>
        <w:tc>
          <w:tcPr>
            <w:tcW w:w="2135" w:type="dxa"/>
            <w:noWrap w:val="0"/>
            <w:vAlign w:val="center"/>
          </w:tcPr>
          <w:p>
            <w:pPr>
              <w:spacing w:line="240" w:lineRule="auto"/>
              <w:jc w:val="both"/>
              <w:rPr>
                <w:rFonts w:hint="eastAsia" w:ascii="Times New Roman" w:hAnsi="Times New Roman" w:cs="Times New Roman"/>
                <w:sz w:val="21"/>
                <w:szCs w:val="21"/>
                <w:vertAlign w:val="baseline"/>
                <w:lang w:val="en-US" w:eastAsia="zh-CN" w:bidi="ar-SA"/>
              </w:rPr>
            </w:pPr>
          </w:p>
        </w:tc>
        <w:tc>
          <w:tcPr>
            <w:tcW w:w="794" w:type="dxa"/>
            <w:noWrap w:val="0"/>
            <w:vAlign w:val="center"/>
          </w:tcPr>
          <w:p>
            <w:pPr>
              <w:spacing w:line="240" w:lineRule="auto"/>
              <w:jc w:val="both"/>
              <w:rPr>
                <w:rFonts w:hint="default" w:ascii="Times New Roman" w:hAnsi="Times New Roman" w:cs="Times New Roman"/>
                <w:sz w:val="21"/>
                <w:szCs w:val="21"/>
                <w:vertAlign w:val="baseline"/>
                <w:lang w:val="en-US" w:eastAsia="zh-CN" w:bidi="ar-SA"/>
              </w:rPr>
            </w:pPr>
            <w:r>
              <w:rPr>
                <w:rFonts w:hint="eastAsia" w:cs="Times New Roman"/>
                <w:sz w:val="21"/>
                <w:szCs w:val="21"/>
                <w:vertAlign w:val="baseline"/>
                <w:lang w:val="en-US" w:eastAsia="zh-CN" w:bidi="ar-SA"/>
              </w:rPr>
              <w:t>110</w:t>
            </w:r>
          </w:p>
        </w:tc>
        <w:tc>
          <w:tcPr>
            <w:tcW w:w="1713" w:type="dxa"/>
            <w:noWrap w:val="0"/>
            <w:vAlign w:val="center"/>
          </w:tcPr>
          <w:p>
            <w:pPr>
              <w:spacing w:line="240" w:lineRule="auto"/>
              <w:jc w:val="both"/>
              <w:rPr>
                <w:rFonts w:hint="eastAsia" w:ascii="Times New Roman" w:hAnsi="Times New Roman" w:cs="Times New Roman"/>
                <w:sz w:val="21"/>
                <w:szCs w:val="21"/>
                <w:vertAlign w:val="baseline"/>
                <w:lang w:val="en-US" w:eastAsia="zh-CN" w:bidi="ar-SA"/>
              </w:rPr>
            </w:pPr>
            <w:r>
              <w:rPr>
                <w:rFonts w:hint="eastAsia" w:cs="Times New Roman"/>
                <w:sz w:val="21"/>
                <w:szCs w:val="21"/>
                <w:vertAlign w:val="baseline"/>
                <w:lang w:val="en-US" w:eastAsia="zh-CN" w:bidi="ar-SA"/>
              </w:rPr>
              <w:t>110</w:t>
            </w:r>
          </w:p>
        </w:tc>
        <w:tc>
          <w:tcPr>
            <w:tcW w:w="1074" w:type="dxa"/>
            <w:noWrap w:val="0"/>
            <w:vAlign w:val="center"/>
          </w:tcPr>
          <w:p>
            <w:pPr>
              <w:spacing w:line="240" w:lineRule="auto"/>
              <w:jc w:val="both"/>
              <w:rPr>
                <w:rFonts w:hint="eastAsia" w:ascii="Times New Roman" w:hAnsi="Times New Roman" w:cs="Times New Roman"/>
                <w:sz w:val="21"/>
                <w:szCs w:val="21"/>
                <w:vertAlign w:val="baseline"/>
                <w:lang w:val="en-US" w:eastAsia="zh-CN" w:bidi="ar-SA"/>
              </w:rPr>
            </w:pPr>
            <w:r>
              <w:rPr>
                <w:rFonts w:hint="eastAsia" w:cs="Times New Roman"/>
                <w:sz w:val="21"/>
                <w:szCs w:val="21"/>
                <w:vertAlign w:val="baseline"/>
                <w:lang w:val="en-US" w:eastAsia="zh-CN" w:bidi="ar-SA"/>
              </w:rPr>
              <w:t>110</w:t>
            </w:r>
          </w:p>
        </w:tc>
        <w:tc>
          <w:tcPr>
            <w:tcW w:w="1713" w:type="dxa"/>
            <w:noWrap w:val="0"/>
            <w:vAlign w:val="center"/>
          </w:tcPr>
          <w:p>
            <w:pPr>
              <w:spacing w:line="240" w:lineRule="auto"/>
              <w:jc w:val="both"/>
              <w:rPr>
                <w:rFonts w:hint="eastAsia" w:ascii="Times New Roman" w:hAnsi="Times New Roman" w:cs="Times New Roman"/>
                <w:sz w:val="21"/>
                <w:szCs w:val="21"/>
                <w:vertAlign w:val="baseline"/>
                <w:lang w:val="en-US" w:eastAsia="zh-CN" w:bidi="ar-SA"/>
              </w:rPr>
            </w:pPr>
            <w:r>
              <w:rPr>
                <w:rFonts w:hint="eastAsia" w:cs="Times New Roman"/>
                <w:sz w:val="21"/>
                <w:szCs w:val="21"/>
                <w:vertAlign w:val="baseline"/>
                <w:lang w:val="en-US" w:eastAsia="zh-CN" w:bidi="ar-SA"/>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074" w:type="dxa"/>
            <w:noWrap w:val="0"/>
            <w:vAlign w:val="center"/>
          </w:tcPr>
          <w:p>
            <w:pPr>
              <w:spacing w:line="240" w:lineRule="auto"/>
              <w:jc w:val="center"/>
              <w:rPr>
                <w:rFonts w:hint="default" w:ascii="Times New Roman" w:hAnsi="Times New Roman" w:cs="Times New Roman"/>
                <w:sz w:val="21"/>
                <w:szCs w:val="21"/>
                <w:vertAlign w:val="baseline"/>
                <w:lang w:val="en-US" w:eastAsia="zh-CN" w:bidi="ar-SA"/>
              </w:rPr>
            </w:pPr>
            <w:r>
              <w:rPr>
                <w:rFonts w:hint="eastAsia" w:ascii="Times New Roman" w:hAnsi="Times New Roman" w:cs="Times New Roman"/>
                <w:sz w:val="21"/>
                <w:szCs w:val="21"/>
                <w:vertAlign w:val="baseline"/>
                <w:lang w:val="en-US" w:eastAsia="zh-CN"/>
              </w:rPr>
              <w:t>文史经费及湘声报征订项目</w:t>
            </w:r>
          </w:p>
        </w:tc>
        <w:tc>
          <w:tcPr>
            <w:tcW w:w="1074" w:type="dxa"/>
            <w:noWrap w:val="0"/>
            <w:vAlign w:val="center"/>
          </w:tcPr>
          <w:p>
            <w:pPr>
              <w:spacing w:line="240" w:lineRule="auto"/>
              <w:jc w:val="both"/>
              <w:rPr>
                <w:rFonts w:hint="eastAsia" w:ascii="Times New Roman" w:hAnsi="Times New Roman" w:cs="Times New Roman"/>
                <w:sz w:val="21"/>
                <w:szCs w:val="21"/>
                <w:vertAlign w:val="baseline"/>
                <w:lang w:val="en-US" w:eastAsia="zh-CN" w:bidi="ar-SA"/>
              </w:rPr>
            </w:pPr>
          </w:p>
        </w:tc>
        <w:tc>
          <w:tcPr>
            <w:tcW w:w="2135" w:type="dxa"/>
            <w:noWrap w:val="0"/>
            <w:vAlign w:val="center"/>
          </w:tcPr>
          <w:p>
            <w:pPr>
              <w:spacing w:line="240" w:lineRule="auto"/>
              <w:jc w:val="both"/>
              <w:rPr>
                <w:rFonts w:hint="eastAsia" w:ascii="Times New Roman" w:hAnsi="Times New Roman" w:cs="Times New Roman"/>
                <w:sz w:val="21"/>
                <w:szCs w:val="21"/>
                <w:vertAlign w:val="baseline"/>
                <w:lang w:val="en-US" w:eastAsia="zh-CN" w:bidi="ar-SA"/>
              </w:rPr>
            </w:pPr>
          </w:p>
        </w:tc>
        <w:tc>
          <w:tcPr>
            <w:tcW w:w="794" w:type="dxa"/>
            <w:noWrap w:val="0"/>
            <w:vAlign w:val="center"/>
          </w:tcPr>
          <w:p>
            <w:pPr>
              <w:spacing w:line="240" w:lineRule="auto"/>
              <w:jc w:val="both"/>
              <w:rPr>
                <w:rFonts w:hint="default" w:ascii="Times New Roman" w:hAnsi="Times New Roman" w:cs="Times New Roman"/>
                <w:sz w:val="21"/>
                <w:szCs w:val="21"/>
                <w:vertAlign w:val="baseline"/>
                <w:lang w:val="en-US" w:eastAsia="zh-CN" w:bidi="ar-SA"/>
              </w:rPr>
            </w:pPr>
            <w:r>
              <w:rPr>
                <w:rFonts w:hint="eastAsia" w:cs="Times New Roman"/>
                <w:sz w:val="21"/>
                <w:szCs w:val="21"/>
                <w:vertAlign w:val="baseline"/>
                <w:lang w:val="en-US" w:eastAsia="zh-CN" w:bidi="ar-SA"/>
              </w:rPr>
              <w:t>25</w:t>
            </w:r>
          </w:p>
        </w:tc>
        <w:tc>
          <w:tcPr>
            <w:tcW w:w="1713" w:type="dxa"/>
            <w:noWrap w:val="0"/>
            <w:vAlign w:val="center"/>
          </w:tcPr>
          <w:p>
            <w:pPr>
              <w:spacing w:line="240" w:lineRule="auto"/>
              <w:jc w:val="both"/>
              <w:rPr>
                <w:rFonts w:hint="eastAsia" w:ascii="Times New Roman" w:hAnsi="Times New Roman" w:cs="Times New Roman"/>
                <w:sz w:val="21"/>
                <w:szCs w:val="21"/>
                <w:vertAlign w:val="baseline"/>
                <w:lang w:val="en-US" w:eastAsia="zh-CN" w:bidi="ar-SA"/>
              </w:rPr>
            </w:pPr>
            <w:r>
              <w:rPr>
                <w:rFonts w:hint="eastAsia" w:cs="Times New Roman"/>
                <w:sz w:val="21"/>
                <w:szCs w:val="21"/>
                <w:vertAlign w:val="baseline"/>
                <w:lang w:val="en-US" w:eastAsia="zh-CN" w:bidi="ar-SA"/>
              </w:rPr>
              <w:t>25</w:t>
            </w:r>
          </w:p>
        </w:tc>
        <w:tc>
          <w:tcPr>
            <w:tcW w:w="1074" w:type="dxa"/>
            <w:noWrap w:val="0"/>
            <w:vAlign w:val="center"/>
          </w:tcPr>
          <w:p>
            <w:pPr>
              <w:spacing w:line="240" w:lineRule="auto"/>
              <w:jc w:val="both"/>
              <w:rPr>
                <w:rFonts w:hint="eastAsia" w:ascii="Times New Roman" w:hAnsi="Times New Roman" w:cs="Times New Roman"/>
                <w:sz w:val="21"/>
                <w:szCs w:val="21"/>
                <w:vertAlign w:val="baseline"/>
                <w:lang w:val="en-US" w:eastAsia="zh-CN" w:bidi="ar-SA"/>
              </w:rPr>
            </w:pPr>
            <w:r>
              <w:rPr>
                <w:rFonts w:hint="eastAsia" w:cs="Times New Roman"/>
                <w:sz w:val="21"/>
                <w:szCs w:val="21"/>
                <w:vertAlign w:val="baseline"/>
                <w:lang w:val="en-US" w:eastAsia="zh-CN" w:bidi="ar-SA"/>
              </w:rPr>
              <w:t>25</w:t>
            </w:r>
          </w:p>
        </w:tc>
        <w:tc>
          <w:tcPr>
            <w:tcW w:w="1713" w:type="dxa"/>
            <w:noWrap w:val="0"/>
            <w:vAlign w:val="center"/>
          </w:tcPr>
          <w:p>
            <w:pPr>
              <w:spacing w:line="240" w:lineRule="auto"/>
              <w:jc w:val="both"/>
              <w:rPr>
                <w:rFonts w:hint="eastAsia" w:ascii="Times New Roman" w:hAnsi="Times New Roman" w:cs="Times New Roman"/>
                <w:sz w:val="21"/>
                <w:szCs w:val="21"/>
                <w:vertAlign w:val="baseline"/>
                <w:lang w:val="en-US" w:eastAsia="zh-CN" w:bidi="ar-SA"/>
              </w:rPr>
            </w:pPr>
            <w:r>
              <w:rPr>
                <w:rFonts w:hint="eastAsia" w:cs="Times New Roman"/>
                <w:sz w:val="21"/>
                <w:szCs w:val="21"/>
                <w:vertAlign w:val="baseline"/>
                <w:lang w:val="en-US" w:eastAsia="zh-CN" w:bidi="ar-S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074" w:type="dxa"/>
            <w:noWrap w:val="0"/>
            <w:vAlign w:val="center"/>
          </w:tcPr>
          <w:p>
            <w:pPr>
              <w:spacing w:line="240" w:lineRule="auto"/>
              <w:jc w:val="both"/>
              <w:rPr>
                <w:rFonts w:hint="default" w:ascii="Times New Roman" w:hAnsi="Times New Roman" w:cs="Times New Roman"/>
                <w:sz w:val="21"/>
                <w:szCs w:val="21"/>
                <w:vertAlign w:val="baseline"/>
                <w:lang w:val="en-US" w:eastAsia="zh-CN" w:bidi="ar-SA"/>
              </w:rPr>
            </w:pPr>
            <w:r>
              <w:rPr>
                <w:rFonts w:hint="eastAsia" w:ascii="Times New Roman" w:hAnsi="Times New Roman" w:cs="Times New Roman"/>
                <w:sz w:val="21"/>
                <w:szCs w:val="21"/>
                <w:vertAlign w:val="baseline"/>
                <w:lang w:val="en-US" w:eastAsia="zh-CN"/>
              </w:rPr>
              <w:t>重点课题调研项目</w:t>
            </w:r>
          </w:p>
        </w:tc>
        <w:tc>
          <w:tcPr>
            <w:tcW w:w="1074" w:type="dxa"/>
            <w:noWrap w:val="0"/>
            <w:vAlign w:val="center"/>
          </w:tcPr>
          <w:p>
            <w:pPr>
              <w:spacing w:line="240" w:lineRule="auto"/>
              <w:jc w:val="both"/>
              <w:rPr>
                <w:rFonts w:hint="eastAsia" w:ascii="Times New Roman" w:hAnsi="Times New Roman" w:cs="Times New Roman"/>
                <w:sz w:val="21"/>
                <w:szCs w:val="21"/>
                <w:vertAlign w:val="baseline"/>
                <w:lang w:val="en-US" w:eastAsia="zh-CN" w:bidi="ar-SA"/>
              </w:rPr>
            </w:pPr>
          </w:p>
        </w:tc>
        <w:tc>
          <w:tcPr>
            <w:tcW w:w="2135" w:type="dxa"/>
            <w:noWrap w:val="0"/>
            <w:vAlign w:val="center"/>
          </w:tcPr>
          <w:p>
            <w:pPr>
              <w:spacing w:line="240" w:lineRule="auto"/>
              <w:jc w:val="both"/>
              <w:rPr>
                <w:rFonts w:hint="eastAsia" w:ascii="Times New Roman" w:hAnsi="Times New Roman" w:cs="Times New Roman"/>
                <w:sz w:val="21"/>
                <w:szCs w:val="21"/>
                <w:vertAlign w:val="baseline"/>
                <w:lang w:val="en-US" w:eastAsia="zh-CN" w:bidi="ar-SA"/>
              </w:rPr>
            </w:pPr>
          </w:p>
        </w:tc>
        <w:tc>
          <w:tcPr>
            <w:tcW w:w="794" w:type="dxa"/>
            <w:noWrap w:val="0"/>
            <w:vAlign w:val="center"/>
          </w:tcPr>
          <w:p>
            <w:pPr>
              <w:spacing w:line="240" w:lineRule="auto"/>
              <w:jc w:val="both"/>
              <w:rPr>
                <w:rFonts w:hint="default" w:ascii="Times New Roman" w:hAnsi="Times New Roman" w:cs="Times New Roman"/>
                <w:sz w:val="21"/>
                <w:szCs w:val="21"/>
                <w:vertAlign w:val="baseline"/>
                <w:lang w:val="en-US" w:eastAsia="zh-CN" w:bidi="ar-SA"/>
              </w:rPr>
            </w:pPr>
            <w:r>
              <w:rPr>
                <w:rFonts w:hint="eastAsia" w:cs="Times New Roman"/>
                <w:sz w:val="21"/>
                <w:szCs w:val="21"/>
                <w:vertAlign w:val="baseline"/>
                <w:lang w:val="en-US" w:eastAsia="zh-CN" w:bidi="ar-SA"/>
              </w:rPr>
              <w:t>31</w:t>
            </w:r>
          </w:p>
        </w:tc>
        <w:tc>
          <w:tcPr>
            <w:tcW w:w="1713" w:type="dxa"/>
            <w:noWrap w:val="0"/>
            <w:vAlign w:val="center"/>
          </w:tcPr>
          <w:p>
            <w:pPr>
              <w:spacing w:line="240" w:lineRule="auto"/>
              <w:jc w:val="both"/>
              <w:rPr>
                <w:rFonts w:hint="eastAsia" w:ascii="Times New Roman" w:hAnsi="Times New Roman" w:cs="Times New Roman"/>
                <w:sz w:val="21"/>
                <w:szCs w:val="21"/>
                <w:vertAlign w:val="baseline"/>
                <w:lang w:val="en-US" w:eastAsia="zh-CN" w:bidi="ar-SA"/>
              </w:rPr>
            </w:pPr>
            <w:r>
              <w:rPr>
                <w:rFonts w:hint="eastAsia" w:cs="Times New Roman"/>
                <w:sz w:val="21"/>
                <w:szCs w:val="21"/>
                <w:vertAlign w:val="baseline"/>
                <w:lang w:val="en-US" w:eastAsia="zh-CN" w:bidi="ar-SA"/>
              </w:rPr>
              <w:t>31</w:t>
            </w:r>
          </w:p>
        </w:tc>
        <w:tc>
          <w:tcPr>
            <w:tcW w:w="1074" w:type="dxa"/>
            <w:noWrap w:val="0"/>
            <w:vAlign w:val="center"/>
          </w:tcPr>
          <w:p>
            <w:pPr>
              <w:spacing w:line="240" w:lineRule="auto"/>
              <w:jc w:val="both"/>
              <w:rPr>
                <w:rFonts w:hint="eastAsia" w:ascii="Times New Roman" w:hAnsi="Times New Roman" w:cs="Times New Roman"/>
                <w:sz w:val="21"/>
                <w:szCs w:val="21"/>
                <w:vertAlign w:val="baseline"/>
                <w:lang w:val="en-US" w:eastAsia="zh-CN" w:bidi="ar-SA"/>
              </w:rPr>
            </w:pPr>
            <w:r>
              <w:rPr>
                <w:rFonts w:hint="eastAsia" w:cs="Times New Roman"/>
                <w:sz w:val="21"/>
                <w:szCs w:val="21"/>
                <w:vertAlign w:val="baseline"/>
                <w:lang w:val="en-US" w:eastAsia="zh-CN" w:bidi="ar-SA"/>
              </w:rPr>
              <w:t>31</w:t>
            </w:r>
          </w:p>
        </w:tc>
        <w:tc>
          <w:tcPr>
            <w:tcW w:w="1713" w:type="dxa"/>
            <w:noWrap w:val="0"/>
            <w:vAlign w:val="center"/>
          </w:tcPr>
          <w:p>
            <w:pPr>
              <w:spacing w:line="240" w:lineRule="auto"/>
              <w:jc w:val="both"/>
              <w:rPr>
                <w:rFonts w:hint="eastAsia" w:ascii="Times New Roman" w:hAnsi="Times New Roman" w:cs="Times New Roman"/>
                <w:sz w:val="21"/>
                <w:szCs w:val="21"/>
                <w:vertAlign w:val="baseline"/>
                <w:lang w:val="en-US" w:eastAsia="zh-CN" w:bidi="ar-SA"/>
              </w:rPr>
            </w:pPr>
            <w:r>
              <w:rPr>
                <w:rFonts w:hint="eastAsia" w:cs="Times New Roman"/>
                <w:sz w:val="21"/>
                <w:szCs w:val="21"/>
                <w:vertAlign w:val="baseline"/>
                <w:lang w:val="en-US" w:eastAsia="zh-CN" w:bidi="ar-SA"/>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074" w:type="dxa"/>
            <w:noWrap w:val="0"/>
            <w:vAlign w:val="center"/>
          </w:tcPr>
          <w:p>
            <w:pPr>
              <w:spacing w:line="240" w:lineRule="auto"/>
              <w:jc w:val="center"/>
              <w:rPr>
                <w:rFonts w:hint="eastAsia" w:ascii="Times New Roman" w:hAnsi="Times New Roman" w:cs="Times New Roman"/>
                <w:sz w:val="21"/>
                <w:szCs w:val="21"/>
                <w:vertAlign w:val="baseline"/>
                <w:lang w:val="en-US" w:eastAsia="zh-CN" w:bidi="ar-SA"/>
              </w:rPr>
            </w:pPr>
            <w:r>
              <w:rPr>
                <w:rFonts w:hint="eastAsia" w:ascii="Times New Roman" w:hAnsi="Times New Roman" w:cs="Times New Roman"/>
                <w:sz w:val="21"/>
                <w:szCs w:val="21"/>
                <w:vertAlign w:val="baseline"/>
                <w:lang w:val="en-US" w:eastAsia="zh-CN"/>
              </w:rPr>
              <w:t>提案督办及政协会务项目</w:t>
            </w:r>
          </w:p>
        </w:tc>
        <w:tc>
          <w:tcPr>
            <w:tcW w:w="1074" w:type="dxa"/>
            <w:noWrap w:val="0"/>
            <w:vAlign w:val="center"/>
          </w:tcPr>
          <w:p>
            <w:pPr>
              <w:spacing w:line="240" w:lineRule="auto"/>
              <w:jc w:val="both"/>
              <w:rPr>
                <w:rFonts w:hint="eastAsia" w:ascii="Times New Roman" w:hAnsi="Times New Roman" w:cs="Times New Roman"/>
                <w:sz w:val="21"/>
                <w:szCs w:val="21"/>
                <w:vertAlign w:val="baseline"/>
                <w:lang w:val="en-US" w:eastAsia="zh-CN" w:bidi="ar-SA"/>
              </w:rPr>
            </w:pPr>
          </w:p>
        </w:tc>
        <w:tc>
          <w:tcPr>
            <w:tcW w:w="2135" w:type="dxa"/>
            <w:noWrap w:val="0"/>
            <w:vAlign w:val="center"/>
          </w:tcPr>
          <w:p>
            <w:pPr>
              <w:spacing w:line="240" w:lineRule="auto"/>
              <w:jc w:val="both"/>
              <w:rPr>
                <w:rFonts w:hint="eastAsia" w:ascii="Times New Roman" w:hAnsi="Times New Roman" w:cs="Times New Roman"/>
                <w:sz w:val="21"/>
                <w:szCs w:val="21"/>
                <w:vertAlign w:val="baseline"/>
                <w:lang w:val="en-US" w:eastAsia="zh-CN" w:bidi="ar-SA"/>
              </w:rPr>
            </w:pPr>
          </w:p>
        </w:tc>
        <w:tc>
          <w:tcPr>
            <w:tcW w:w="794" w:type="dxa"/>
            <w:noWrap w:val="0"/>
            <w:vAlign w:val="center"/>
          </w:tcPr>
          <w:p>
            <w:pPr>
              <w:spacing w:line="240" w:lineRule="auto"/>
              <w:jc w:val="both"/>
              <w:rPr>
                <w:rFonts w:hint="default" w:ascii="Times New Roman" w:hAnsi="Times New Roman" w:cs="Times New Roman"/>
                <w:sz w:val="21"/>
                <w:szCs w:val="21"/>
                <w:vertAlign w:val="baseline"/>
                <w:lang w:val="en-US" w:eastAsia="zh-CN" w:bidi="ar-SA"/>
              </w:rPr>
            </w:pPr>
            <w:r>
              <w:rPr>
                <w:rFonts w:hint="eastAsia" w:cs="Times New Roman"/>
                <w:sz w:val="21"/>
                <w:szCs w:val="21"/>
                <w:vertAlign w:val="baseline"/>
                <w:lang w:val="en-US" w:eastAsia="zh-CN" w:bidi="ar-SA"/>
              </w:rPr>
              <w:t>5</w:t>
            </w:r>
          </w:p>
        </w:tc>
        <w:tc>
          <w:tcPr>
            <w:tcW w:w="1713" w:type="dxa"/>
            <w:noWrap w:val="0"/>
            <w:vAlign w:val="center"/>
          </w:tcPr>
          <w:p>
            <w:pPr>
              <w:spacing w:line="240" w:lineRule="auto"/>
              <w:jc w:val="both"/>
              <w:rPr>
                <w:rFonts w:hint="eastAsia" w:ascii="Times New Roman" w:hAnsi="Times New Roman" w:cs="Times New Roman"/>
                <w:sz w:val="21"/>
                <w:szCs w:val="21"/>
                <w:vertAlign w:val="baseline"/>
                <w:lang w:val="en-US" w:eastAsia="zh-CN" w:bidi="ar-SA"/>
              </w:rPr>
            </w:pPr>
            <w:r>
              <w:rPr>
                <w:rFonts w:hint="eastAsia" w:cs="Times New Roman"/>
                <w:sz w:val="21"/>
                <w:szCs w:val="21"/>
                <w:vertAlign w:val="baseline"/>
                <w:lang w:val="en-US" w:eastAsia="zh-CN" w:bidi="ar-SA"/>
              </w:rPr>
              <w:t>5</w:t>
            </w:r>
          </w:p>
        </w:tc>
        <w:tc>
          <w:tcPr>
            <w:tcW w:w="1074" w:type="dxa"/>
            <w:noWrap w:val="0"/>
            <w:vAlign w:val="center"/>
          </w:tcPr>
          <w:p>
            <w:pPr>
              <w:spacing w:line="240" w:lineRule="auto"/>
              <w:jc w:val="both"/>
              <w:rPr>
                <w:rFonts w:hint="eastAsia" w:ascii="Times New Roman" w:hAnsi="Times New Roman" w:cs="Times New Roman"/>
                <w:sz w:val="21"/>
                <w:szCs w:val="21"/>
                <w:vertAlign w:val="baseline"/>
                <w:lang w:val="en-US" w:eastAsia="zh-CN" w:bidi="ar-SA"/>
              </w:rPr>
            </w:pPr>
            <w:r>
              <w:rPr>
                <w:rFonts w:hint="eastAsia" w:cs="Times New Roman"/>
                <w:sz w:val="21"/>
                <w:szCs w:val="21"/>
                <w:vertAlign w:val="baseline"/>
                <w:lang w:val="en-US" w:eastAsia="zh-CN" w:bidi="ar-SA"/>
              </w:rPr>
              <w:t>5</w:t>
            </w:r>
          </w:p>
        </w:tc>
        <w:tc>
          <w:tcPr>
            <w:tcW w:w="1713" w:type="dxa"/>
            <w:noWrap w:val="0"/>
            <w:vAlign w:val="center"/>
          </w:tcPr>
          <w:p>
            <w:pPr>
              <w:spacing w:line="240" w:lineRule="auto"/>
              <w:jc w:val="both"/>
              <w:rPr>
                <w:rFonts w:hint="eastAsia" w:ascii="Times New Roman" w:hAnsi="Times New Roman" w:cs="Times New Roman"/>
                <w:sz w:val="21"/>
                <w:szCs w:val="21"/>
                <w:vertAlign w:val="baseline"/>
                <w:lang w:val="en-US" w:eastAsia="zh-CN" w:bidi="ar-SA"/>
              </w:rPr>
            </w:pPr>
            <w:r>
              <w:rPr>
                <w:rFonts w:hint="eastAsia" w:cs="Times New Roman"/>
                <w:sz w:val="21"/>
                <w:szCs w:val="21"/>
                <w:vertAlign w:val="baseli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074" w:type="dxa"/>
            <w:noWrap w:val="0"/>
            <w:vAlign w:val="center"/>
          </w:tcPr>
          <w:p>
            <w:pPr>
              <w:spacing w:line="240" w:lineRule="auto"/>
              <w:jc w:val="center"/>
              <w:rPr>
                <w:rFonts w:hint="default" w:ascii="Times New Roman" w:hAnsi="Times New Roman" w:cs="Times New Roman"/>
                <w:sz w:val="21"/>
                <w:szCs w:val="21"/>
                <w:vertAlign w:val="baseline"/>
                <w:lang w:val="en-US" w:eastAsia="zh-CN" w:bidi="ar-SA"/>
              </w:rPr>
            </w:pPr>
            <w:r>
              <w:rPr>
                <w:rFonts w:hint="eastAsia" w:ascii="Times New Roman" w:hAnsi="Times New Roman" w:cs="Times New Roman"/>
                <w:sz w:val="21"/>
                <w:szCs w:val="21"/>
                <w:vertAlign w:val="baseline"/>
                <w:lang w:val="en-US" w:eastAsia="zh-CN"/>
              </w:rPr>
              <w:t>全区重大会议项目</w:t>
            </w:r>
          </w:p>
        </w:tc>
        <w:tc>
          <w:tcPr>
            <w:tcW w:w="1074" w:type="dxa"/>
            <w:noWrap w:val="0"/>
            <w:vAlign w:val="center"/>
          </w:tcPr>
          <w:p>
            <w:pPr>
              <w:spacing w:line="240" w:lineRule="auto"/>
              <w:jc w:val="both"/>
              <w:rPr>
                <w:rFonts w:hint="eastAsia" w:ascii="Times New Roman" w:hAnsi="Times New Roman" w:cs="Times New Roman"/>
                <w:sz w:val="21"/>
                <w:szCs w:val="21"/>
                <w:vertAlign w:val="baseline"/>
                <w:lang w:val="en-US" w:eastAsia="zh-CN" w:bidi="ar-SA"/>
              </w:rPr>
            </w:pPr>
          </w:p>
        </w:tc>
        <w:tc>
          <w:tcPr>
            <w:tcW w:w="2135" w:type="dxa"/>
            <w:noWrap w:val="0"/>
            <w:vAlign w:val="center"/>
          </w:tcPr>
          <w:p>
            <w:pPr>
              <w:spacing w:line="240" w:lineRule="auto"/>
              <w:jc w:val="both"/>
              <w:rPr>
                <w:rFonts w:hint="eastAsia" w:ascii="Times New Roman" w:hAnsi="Times New Roman" w:cs="Times New Roman"/>
                <w:sz w:val="21"/>
                <w:szCs w:val="21"/>
                <w:vertAlign w:val="baseline"/>
                <w:lang w:val="en-US" w:eastAsia="zh-CN" w:bidi="ar-SA"/>
              </w:rPr>
            </w:pPr>
          </w:p>
        </w:tc>
        <w:tc>
          <w:tcPr>
            <w:tcW w:w="794" w:type="dxa"/>
            <w:noWrap w:val="0"/>
            <w:vAlign w:val="center"/>
          </w:tcPr>
          <w:p>
            <w:pPr>
              <w:spacing w:line="240" w:lineRule="auto"/>
              <w:jc w:val="both"/>
              <w:rPr>
                <w:rFonts w:hint="default" w:ascii="Times New Roman" w:hAnsi="Times New Roman" w:cs="Times New Roman"/>
                <w:sz w:val="21"/>
                <w:szCs w:val="21"/>
                <w:vertAlign w:val="baseline"/>
                <w:lang w:val="en-US" w:eastAsia="zh-CN" w:bidi="ar-SA"/>
              </w:rPr>
            </w:pPr>
          </w:p>
        </w:tc>
        <w:tc>
          <w:tcPr>
            <w:tcW w:w="1713" w:type="dxa"/>
            <w:noWrap w:val="0"/>
            <w:vAlign w:val="center"/>
          </w:tcPr>
          <w:p>
            <w:pPr>
              <w:spacing w:line="240" w:lineRule="auto"/>
              <w:jc w:val="both"/>
              <w:rPr>
                <w:rFonts w:hint="eastAsia" w:ascii="Times New Roman" w:hAnsi="Times New Roman" w:cs="Times New Roman"/>
                <w:sz w:val="21"/>
                <w:szCs w:val="21"/>
                <w:vertAlign w:val="baseline"/>
                <w:lang w:val="en-US" w:eastAsia="zh-CN" w:bidi="ar-SA"/>
              </w:rPr>
            </w:pPr>
          </w:p>
        </w:tc>
        <w:tc>
          <w:tcPr>
            <w:tcW w:w="1074" w:type="dxa"/>
            <w:noWrap w:val="0"/>
            <w:vAlign w:val="center"/>
          </w:tcPr>
          <w:p>
            <w:pPr>
              <w:spacing w:line="240" w:lineRule="auto"/>
              <w:jc w:val="both"/>
              <w:rPr>
                <w:rFonts w:hint="eastAsia" w:ascii="Times New Roman" w:hAnsi="Times New Roman" w:eastAsia="仿宋_GB2312" w:cs="Times New Roman"/>
                <w:kern w:val="2"/>
                <w:sz w:val="21"/>
                <w:szCs w:val="21"/>
                <w:vertAlign w:val="baseline"/>
                <w:lang w:val="en-US" w:eastAsia="zh-CN" w:bidi="ar-SA"/>
              </w:rPr>
            </w:pPr>
            <w:r>
              <w:rPr>
                <w:rFonts w:hint="eastAsia" w:cs="Times New Roman"/>
                <w:sz w:val="21"/>
                <w:szCs w:val="21"/>
                <w:vertAlign w:val="baseline"/>
                <w:lang w:val="en-US" w:eastAsia="zh-CN" w:bidi="ar-SA"/>
              </w:rPr>
              <w:t>185.86</w:t>
            </w:r>
          </w:p>
        </w:tc>
        <w:tc>
          <w:tcPr>
            <w:tcW w:w="1713" w:type="dxa"/>
            <w:noWrap w:val="0"/>
            <w:vAlign w:val="center"/>
          </w:tcPr>
          <w:p>
            <w:pPr>
              <w:spacing w:line="240" w:lineRule="auto"/>
              <w:jc w:val="both"/>
              <w:rPr>
                <w:rFonts w:hint="eastAsia" w:ascii="Times New Roman" w:hAnsi="Times New Roman" w:cs="Times New Roman"/>
                <w:sz w:val="21"/>
                <w:szCs w:val="21"/>
                <w:vertAlign w:val="baseline"/>
                <w:lang w:val="en-US" w:eastAsia="zh-CN" w:bidi="ar-SA"/>
              </w:rPr>
            </w:pPr>
            <w:r>
              <w:rPr>
                <w:rFonts w:hint="eastAsia" w:cs="Times New Roman"/>
                <w:sz w:val="21"/>
                <w:szCs w:val="21"/>
                <w:vertAlign w:val="baseline"/>
                <w:lang w:val="en-US" w:eastAsia="zh-CN" w:bidi="ar-SA"/>
              </w:rPr>
              <w:t>185.86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4283" w:type="dxa"/>
            <w:gridSpan w:val="3"/>
            <w:noWrap w:val="0"/>
            <w:vAlign w:val="center"/>
          </w:tcPr>
          <w:p>
            <w:pPr>
              <w:tabs>
                <w:tab w:val="left" w:pos="2243"/>
              </w:tabs>
              <w:spacing w:line="240" w:lineRule="auto"/>
              <w:jc w:val="both"/>
              <w:rPr>
                <w:rFonts w:hint="eastAsia" w:ascii="Times New Roman" w:hAnsi="Times New Roman" w:cs="Times New Roman"/>
                <w:sz w:val="21"/>
                <w:szCs w:val="21"/>
                <w:vertAlign w:val="baseline"/>
                <w:lang w:val="en-US" w:eastAsia="zh-CN" w:bidi="ar-SA"/>
              </w:rPr>
            </w:pPr>
            <w:r>
              <w:rPr>
                <w:rFonts w:hint="eastAsia" w:ascii="Times New Roman" w:hAnsi="Times New Roman" w:cs="Times New Roman"/>
                <w:sz w:val="21"/>
                <w:szCs w:val="21"/>
                <w:vertAlign w:val="baseline"/>
                <w:lang w:val="en-US" w:eastAsia="zh-CN" w:bidi="ar-SA"/>
              </w:rPr>
              <w:tab/>
            </w:r>
            <w:r>
              <w:rPr>
                <w:rFonts w:hint="eastAsia" w:ascii="Times New Roman" w:hAnsi="Times New Roman" w:cs="Times New Roman"/>
                <w:sz w:val="21"/>
                <w:szCs w:val="21"/>
                <w:vertAlign w:val="baseline"/>
                <w:lang w:val="en-US" w:eastAsia="zh-CN" w:bidi="ar-SA"/>
              </w:rPr>
              <w:t>合计</w:t>
            </w:r>
          </w:p>
        </w:tc>
        <w:tc>
          <w:tcPr>
            <w:tcW w:w="794" w:type="dxa"/>
            <w:noWrap w:val="0"/>
            <w:vAlign w:val="center"/>
          </w:tcPr>
          <w:p>
            <w:pPr>
              <w:spacing w:line="240" w:lineRule="auto"/>
              <w:jc w:val="both"/>
              <w:rPr>
                <w:rFonts w:hint="default" w:ascii="Times New Roman" w:hAnsi="Times New Roman" w:cs="Times New Roman"/>
                <w:sz w:val="21"/>
                <w:szCs w:val="21"/>
                <w:vertAlign w:val="baseline"/>
                <w:lang w:val="en-US" w:eastAsia="zh-CN" w:bidi="ar-SA"/>
              </w:rPr>
            </w:pPr>
            <w:r>
              <w:rPr>
                <w:rFonts w:hint="eastAsia" w:cs="Times New Roman"/>
                <w:sz w:val="21"/>
                <w:szCs w:val="21"/>
                <w:vertAlign w:val="baseline"/>
                <w:lang w:val="en-US" w:eastAsia="zh-CN" w:bidi="ar-SA"/>
              </w:rPr>
              <w:t>171</w:t>
            </w:r>
          </w:p>
        </w:tc>
        <w:tc>
          <w:tcPr>
            <w:tcW w:w="1713" w:type="dxa"/>
            <w:noWrap w:val="0"/>
            <w:vAlign w:val="center"/>
          </w:tcPr>
          <w:p>
            <w:pPr>
              <w:spacing w:line="240" w:lineRule="auto"/>
              <w:jc w:val="both"/>
              <w:rPr>
                <w:rFonts w:hint="default" w:ascii="Times New Roman" w:hAnsi="Times New Roman" w:cs="Times New Roman"/>
                <w:sz w:val="21"/>
                <w:szCs w:val="21"/>
                <w:vertAlign w:val="baseline"/>
                <w:lang w:val="en-US" w:eastAsia="zh-CN" w:bidi="ar-SA"/>
              </w:rPr>
            </w:pPr>
            <w:r>
              <w:rPr>
                <w:rFonts w:hint="eastAsia" w:cs="Times New Roman"/>
                <w:sz w:val="21"/>
                <w:szCs w:val="21"/>
                <w:vertAlign w:val="baseline"/>
                <w:lang w:val="en-US" w:eastAsia="zh-CN" w:bidi="ar-SA"/>
              </w:rPr>
              <w:t>171</w:t>
            </w:r>
          </w:p>
        </w:tc>
        <w:tc>
          <w:tcPr>
            <w:tcW w:w="1074" w:type="dxa"/>
            <w:noWrap w:val="0"/>
            <w:vAlign w:val="center"/>
          </w:tcPr>
          <w:p>
            <w:pPr>
              <w:spacing w:line="240" w:lineRule="auto"/>
              <w:jc w:val="both"/>
              <w:rPr>
                <w:rFonts w:hint="eastAsia" w:ascii="Times New Roman" w:hAnsi="Times New Roman" w:cs="Times New Roman"/>
                <w:sz w:val="21"/>
                <w:szCs w:val="21"/>
                <w:vertAlign w:val="baseline"/>
                <w:lang w:val="en-US" w:eastAsia="zh-CN" w:bidi="ar-SA"/>
              </w:rPr>
            </w:pPr>
            <w:r>
              <w:rPr>
                <w:rFonts w:hint="eastAsia" w:cs="Times New Roman"/>
                <w:sz w:val="21"/>
                <w:szCs w:val="21"/>
                <w:vertAlign w:val="baseline"/>
                <w:lang w:val="en-US" w:eastAsia="zh-CN" w:bidi="ar-SA"/>
              </w:rPr>
              <w:t>356.86</w:t>
            </w:r>
          </w:p>
        </w:tc>
        <w:tc>
          <w:tcPr>
            <w:tcW w:w="1713" w:type="dxa"/>
            <w:noWrap w:val="0"/>
            <w:vAlign w:val="center"/>
          </w:tcPr>
          <w:p>
            <w:pPr>
              <w:spacing w:line="240" w:lineRule="auto"/>
              <w:jc w:val="both"/>
              <w:rPr>
                <w:rFonts w:hint="eastAsia" w:ascii="Times New Roman" w:hAnsi="Times New Roman" w:cs="Times New Roman"/>
                <w:sz w:val="21"/>
                <w:szCs w:val="21"/>
                <w:vertAlign w:val="baseline"/>
                <w:lang w:val="en-US" w:eastAsia="zh-CN" w:bidi="ar-SA"/>
              </w:rPr>
            </w:pPr>
            <w:r>
              <w:rPr>
                <w:rFonts w:hint="eastAsia" w:cs="Times New Roman"/>
                <w:sz w:val="21"/>
                <w:szCs w:val="21"/>
                <w:vertAlign w:val="baseline"/>
                <w:lang w:val="en-US" w:eastAsia="zh-CN" w:bidi="ar-SA"/>
              </w:rPr>
              <w:t>356.86</w:t>
            </w:r>
          </w:p>
        </w:tc>
      </w:tr>
    </w:tbl>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ascii="Times New Roman" w:hAnsi="Times New Roman" w:eastAsia="楷体_GB2312" w:cs="Times New Roman"/>
          <w:bCs/>
          <w:sz w:val="32"/>
          <w:szCs w:val="32"/>
          <w:lang w:bidi="ar-SA"/>
        </w:rPr>
      </w:pPr>
      <w:r>
        <w:rPr>
          <w:rFonts w:hint="eastAsia" w:ascii="Times New Roman" w:hAnsi="Times New Roman" w:eastAsia="楷体_GB2312" w:cs="Times New Roman"/>
          <w:bCs/>
          <w:sz w:val="32"/>
          <w:szCs w:val="32"/>
          <w:lang w:eastAsia="zh-CN" w:bidi="ar-SA"/>
        </w:rPr>
        <w:t>（二）项目绩效</w:t>
      </w:r>
      <w:r>
        <w:rPr>
          <w:rFonts w:ascii="Times New Roman" w:hAnsi="Times New Roman" w:eastAsia="楷体_GB2312" w:cs="Times New Roman"/>
          <w:bCs/>
          <w:sz w:val="32"/>
          <w:szCs w:val="32"/>
          <w:lang w:bidi="ar-SA"/>
        </w:rPr>
        <w:t>目标</w:t>
      </w:r>
      <w:r>
        <w:rPr>
          <w:rFonts w:hint="eastAsia" w:ascii="Times New Roman" w:hAnsi="Times New Roman" w:eastAsia="楷体_GB2312" w:cs="Times New Roman"/>
          <w:bCs/>
          <w:sz w:val="32"/>
          <w:szCs w:val="32"/>
          <w:lang w:eastAsia="zh-CN" w:bidi="ar-SA"/>
        </w:rPr>
        <w:t>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highlight w:val="none"/>
          <w:lang w:eastAsia="zh-CN" w:bidi="ar-SA"/>
        </w:rPr>
      </w:pPr>
      <w:r>
        <w:rPr>
          <w:rFonts w:hint="eastAsia" w:ascii="Times New Roman" w:hAnsi="Times New Roman" w:eastAsia="仿宋_GB2312" w:cs="Times New Roman"/>
          <w:b/>
          <w:bCs/>
          <w:sz w:val="32"/>
          <w:szCs w:val="32"/>
          <w:highlight w:val="none"/>
          <w:lang w:eastAsia="zh-CN" w:bidi="ar-SA"/>
        </w:rPr>
        <w:t>1、政协会议经费项目。</w:t>
      </w:r>
      <w:r>
        <w:rPr>
          <w:rFonts w:hint="eastAsia" w:ascii="Times New Roman" w:hAnsi="Times New Roman" w:eastAsia="仿宋_GB2312" w:cs="Times New Roman"/>
          <w:sz w:val="32"/>
          <w:szCs w:val="32"/>
          <w:highlight w:val="none"/>
          <w:lang w:eastAsia="zh-CN" w:bidi="ar-SA"/>
        </w:rPr>
        <w:t>全年召开</w:t>
      </w:r>
      <w:r>
        <w:rPr>
          <w:rFonts w:hint="eastAsia" w:cs="Times New Roman"/>
          <w:sz w:val="32"/>
          <w:szCs w:val="32"/>
          <w:highlight w:val="none"/>
          <w:lang w:val="en-US" w:eastAsia="zh-CN" w:bidi="ar-SA"/>
        </w:rPr>
        <w:t>6</w:t>
      </w:r>
      <w:bookmarkStart w:id="0" w:name="_GoBack"/>
      <w:bookmarkEnd w:id="0"/>
      <w:r>
        <w:rPr>
          <w:rFonts w:hint="eastAsia" w:ascii="Times New Roman" w:hAnsi="Times New Roman" w:eastAsia="仿宋_GB2312" w:cs="Times New Roman"/>
          <w:sz w:val="32"/>
          <w:szCs w:val="32"/>
          <w:highlight w:val="none"/>
          <w:lang w:eastAsia="zh-CN" w:bidi="ar-SA"/>
        </w:rPr>
        <w:t>次常委会，各办、委按季度召开工作例会。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highlight w:val="none"/>
          <w:lang w:eastAsia="zh-CN" w:bidi="ar-SA"/>
        </w:rPr>
      </w:pPr>
      <w:r>
        <w:rPr>
          <w:rFonts w:hint="eastAsia" w:ascii="Times New Roman" w:hAnsi="Times New Roman" w:eastAsia="仿宋_GB2312" w:cs="Times New Roman"/>
          <w:b/>
          <w:bCs/>
          <w:sz w:val="32"/>
          <w:szCs w:val="32"/>
          <w:highlight w:val="none"/>
          <w:lang w:eastAsia="zh-CN" w:bidi="ar-SA"/>
        </w:rPr>
        <w:t>2、委员活动经费项目。</w:t>
      </w:r>
      <w:r>
        <w:rPr>
          <w:rFonts w:hint="eastAsia" w:ascii="Times New Roman" w:hAnsi="Times New Roman" w:eastAsia="仿宋_GB2312" w:cs="Times New Roman"/>
          <w:sz w:val="32"/>
          <w:szCs w:val="32"/>
          <w:highlight w:val="none"/>
          <w:lang w:eastAsia="zh-CN" w:bidi="ar-SA"/>
        </w:rPr>
        <w:t>组织委员开展政协各类协商视察活动；组织开展三次全员参加的“双百帮抚”慰问活动；组织委员（预计60-80人）学习培训1次；每月出版一期开福政协每期预计300本；拨付16个街道委员工作站工作经费；继续组织、参加各项体育比赛。坚持把发扬民主、增进团结、协调关系，为履行职能的重要着力点。加强与各民主党派、人民团体、无党派人士和民族宗教界人士的紧密联系。加强联系，增进全市政协系统之间友谊。积极参与市政协组织的各项文体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highlight w:val="none"/>
          <w:lang w:eastAsia="zh-CN" w:bidi="ar-SA"/>
        </w:rPr>
      </w:pPr>
      <w:r>
        <w:rPr>
          <w:rFonts w:hint="eastAsia" w:ascii="Times New Roman" w:hAnsi="Times New Roman" w:eastAsia="仿宋_GB2312" w:cs="Times New Roman"/>
          <w:b/>
          <w:bCs/>
          <w:sz w:val="32"/>
          <w:szCs w:val="32"/>
          <w:highlight w:val="none"/>
          <w:lang w:eastAsia="zh-CN" w:bidi="ar-SA"/>
        </w:rPr>
        <w:t>3、重点课题调研经费项目。</w:t>
      </w:r>
      <w:r>
        <w:rPr>
          <w:rFonts w:hint="eastAsia" w:ascii="Times New Roman" w:hAnsi="Times New Roman" w:eastAsia="仿宋_GB2312" w:cs="Times New Roman"/>
          <w:sz w:val="32"/>
          <w:szCs w:val="32"/>
          <w:highlight w:val="none"/>
          <w:lang w:eastAsia="zh-CN" w:bidi="ar-SA"/>
        </w:rPr>
        <w:t>组织开展“打造内陆开放新高地，把开福建成长沙向北发展、融入长江经济带的桥头堡”专题协商；组织开展5个主席会议视察活动等</w:t>
      </w:r>
      <w:r>
        <w:rPr>
          <w:rFonts w:hint="eastAsia" w:cs="Times New Roman"/>
          <w:sz w:val="32"/>
          <w:szCs w:val="32"/>
          <w:highlight w:val="none"/>
          <w:lang w:eastAsia="zh-CN" w:bidi="ar-SA"/>
        </w:rPr>
        <w:t>。为区委、区政府经济发展、民生事务、重大决策提供参考。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highlight w:val="none"/>
          <w:lang w:eastAsia="zh-CN" w:bidi="ar-SA"/>
        </w:rPr>
      </w:pPr>
      <w:r>
        <w:rPr>
          <w:rFonts w:hint="eastAsia" w:ascii="Times New Roman" w:hAnsi="Times New Roman" w:eastAsia="仿宋_GB2312" w:cs="Times New Roman"/>
          <w:b/>
          <w:bCs/>
          <w:sz w:val="32"/>
          <w:szCs w:val="32"/>
          <w:highlight w:val="none"/>
          <w:lang w:eastAsia="zh-CN" w:bidi="ar-SA"/>
        </w:rPr>
        <w:t>4、文史资料经费及湘声报订阅经费项目。</w:t>
      </w:r>
      <w:r>
        <w:rPr>
          <w:rFonts w:hint="eastAsia" w:ascii="Times New Roman" w:hAnsi="Times New Roman" w:eastAsia="仿宋_GB2312" w:cs="Times New Roman"/>
          <w:sz w:val="32"/>
          <w:szCs w:val="32"/>
          <w:highlight w:val="none"/>
          <w:lang w:eastAsia="zh-CN" w:bidi="ar-SA"/>
        </w:rPr>
        <w:t>完成《开福老街》（暂定）一书的编印；为委员及区领导订阅《湘声报》共计501份、《文史博览》250份等报刊杂志。通过走访调研、收集文史资料，为编纂政协文史书籍、弘扬和保护开福文化奠定了坚实基础。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highlight w:val="none"/>
          <w:lang w:eastAsia="zh-CN" w:bidi="ar-SA"/>
        </w:rPr>
      </w:pPr>
      <w:r>
        <w:rPr>
          <w:rFonts w:hint="eastAsia" w:ascii="Times New Roman" w:hAnsi="Times New Roman" w:eastAsia="仿宋_GB2312" w:cs="Times New Roman"/>
          <w:b/>
          <w:bCs/>
          <w:sz w:val="32"/>
          <w:szCs w:val="32"/>
          <w:highlight w:val="none"/>
          <w:lang w:eastAsia="zh-CN" w:bidi="ar-SA"/>
        </w:rPr>
        <w:t>5、提案督办经费项目。</w:t>
      </w:r>
      <w:r>
        <w:rPr>
          <w:rFonts w:hint="eastAsia" w:ascii="Times New Roman" w:hAnsi="Times New Roman" w:eastAsia="仿宋_GB2312" w:cs="Times New Roman"/>
          <w:sz w:val="32"/>
          <w:szCs w:val="32"/>
          <w:highlight w:val="none"/>
          <w:lang w:eastAsia="zh-CN" w:bidi="ar-SA"/>
        </w:rPr>
        <w:t>选取5件委员提案作为重点提案进行督办</w:t>
      </w:r>
      <w:r>
        <w:rPr>
          <w:rFonts w:hint="eastAsia" w:cs="Times New Roman"/>
          <w:sz w:val="32"/>
          <w:szCs w:val="32"/>
          <w:highlight w:val="none"/>
          <w:lang w:eastAsia="zh-CN" w:bidi="ar-SA"/>
        </w:rPr>
        <w:t>。在提案办理中，全面推行“分管主席督办+主席会议督办”的两轮提案办理机制，对办理不力的承办单位实施约谈督办和不满意提案通报，以确保提案的办理效果，提高A案率，让委员的履职成果得到真正转化</w:t>
      </w:r>
      <w:r>
        <w:rPr>
          <w:rFonts w:hint="eastAsia" w:ascii="Times New Roman" w:hAnsi="Times New Roman" w:eastAsia="仿宋_GB2312" w:cs="Times New Roman"/>
          <w:sz w:val="32"/>
          <w:szCs w:val="32"/>
          <w:highlight w:val="none"/>
          <w:lang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720" w:hanging="1080"/>
        <w:textAlignment w:val="auto"/>
        <w:rPr>
          <w:rFonts w:ascii="Times New Roman" w:hAnsi="Times New Roman" w:eastAsia="楷体_GB2312" w:cs="Times New Roman"/>
          <w:bCs/>
          <w:sz w:val="32"/>
          <w:szCs w:val="32"/>
          <w:lang w:bidi="ar-SA"/>
        </w:rPr>
      </w:pPr>
      <w:r>
        <w:rPr>
          <w:rFonts w:ascii="Times New Roman" w:hAnsi="Times New Roman" w:eastAsia="楷体_GB2312" w:cs="Times New Roman"/>
          <w:bCs/>
          <w:sz w:val="32"/>
          <w:szCs w:val="32"/>
          <w:lang w:bidi="ar-SA"/>
        </w:rPr>
        <w:t>资金使用管理情况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bidi="ar-SA"/>
        </w:rPr>
      </w:pPr>
      <w:r>
        <w:rPr>
          <w:rFonts w:hint="eastAsia" w:ascii="Times New Roman" w:hAnsi="Times New Roman" w:eastAsia="仿宋_GB2312" w:cs="Times New Roman"/>
          <w:sz w:val="32"/>
          <w:szCs w:val="32"/>
          <w:highlight w:val="none"/>
          <w:lang w:eastAsia="zh-CN" w:bidi="ar-SA"/>
        </w:rPr>
        <w:t>20</w:t>
      </w:r>
      <w:r>
        <w:rPr>
          <w:rFonts w:hint="eastAsia" w:cs="Times New Roman"/>
          <w:sz w:val="32"/>
          <w:szCs w:val="32"/>
          <w:highlight w:val="none"/>
          <w:lang w:val="en-US" w:eastAsia="zh-CN" w:bidi="ar-SA"/>
        </w:rPr>
        <w:t>21</w:t>
      </w:r>
      <w:r>
        <w:rPr>
          <w:rFonts w:hint="eastAsia" w:ascii="Times New Roman" w:hAnsi="Times New Roman" w:eastAsia="仿宋_GB2312" w:cs="Times New Roman"/>
          <w:sz w:val="32"/>
          <w:szCs w:val="32"/>
          <w:highlight w:val="none"/>
          <w:lang w:eastAsia="zh-CN" w:bidi="ar-SA"/>
        </w:rPr>
        <w:t>年部门项目支出</w:t>
      </w:r>
      <w:r>
        <w:rPr>
          <w:rFonts w:hint="eastAsia" w:ascii="Times New Roman" w:hAnsi="Times New Roman" w:eastAsia="仿宋_GB2312" w:cs="Times New Roman"/>
          <w:sz w:val="32"/>
          <w:szCs w:val="32"/>
          <w:highlight w:val="none"/>
          <w:lang w:val="en-US" w:eastAsia="zh-CN" w:bidi="ar-SA"/>
        </w:rPr>
        <w:t>356.86</w:t>
      </w:r>
      <w:r>
        <w:rPr>
          <w:rFonts w:hint="eastAsia" w:ascii="Times New Roman" w:hAnsi="Times New Roman" w:eastAsia="仿宋_GB2312" w:cs="Times New Roman"/>
          <w:sz w:val="32"/>
          <w:szCs w:val="32"/>
          <w:highlight w:val="none"/>
          <w:lang w:eastAsia="zh-CN" w:bidi="ar-SA"/>
        </w:rPr>
        <w:t>万元，全部实行绩效目标管理。对202</w:t>
      </w:r>
      <w:r>
        <w:rPr>
          <w:rFonts w:hint="eastAsia" w:cs="Times New Roman"/>
          <w:sz w:val="32"/>
          <w:szCs w:val="32"/>
          <w:highlight w:val="none"/>
          <w:lang w:val="en-US" w:eastAsia="zh-CN" w:bidi="ar-SA"/>
        </w:rPr>
        <w:t>1</w:t>
      </w:r>
      <w:r>
        <w:rPr>
          <w:rFonts w:hint="eastAsia" w:ascii="Times New Roman" w:hAnsi="Times New Roman" w:eastAsia="仿宋_GB2312" w:cs="Times New Roman"/>
          <w:sz w:val="32"/>
          <w:szCs w:val="32"/>
          <w:highlight w:val="none"/>
          <w:lang w:eastAsia="zh-CN" w:bidi="ar-SA"/>
        </w:rPr>
        <w:t>年度部门整体支出和项目支出绩效开展了自评，自评结果显示，上述支出绩效情况较为理想，均达到了申请时设定的各项绩效目标。在单位自评的基础上，按照区财政支出绩效评价办法，有效提高了财政资金保用效益，推动了预算绩效管理工作的开展，逐步建立“预算编制有目标、预算执行有监控、预算完成有评价、评价结果又应用”的预算绩效管理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sz w:val="32"/>
          <w:szCs w:val="32"/>
          <w:lang w:bidi="ar-SA"/>
        </w:rPr>
      </w:pPr>
      <w:r>
        <w:rPr>
          <w:rFonts w:hint="eastAsia" w:ascii="Times New Roman" w:hAnsi="Times New Roman" w:eastAsia="黑体" w:cs="Times New Roman"/>
          <w:sz w:val="32"/>
          <w:szCs w:val="32"/>
          <w:lang w:eastAsia="zh-CN" w:bidi="ar-SA"/>
        </w:rPr>
        <w:t>二、</w:t>
      </w:r>
      <w:r>
        <w:rPr>
          <w:rFonts w:ascii="Times New Roman" w:hAnsi="Times New Roman" w:eastAsia="黑体" w:cs="Times New Roman"/>
          <w:sz w:val="32"/>
          <w:szCs w:val="32"/>
          <w:lang w:bidi="ar-SA"/>
        </w:rPr>
        <w:t>绩效评价工作情况</w:t>
      </w:r>
    </w:p>
    <w:p>
      <w:pPr>
        <w:pStyle w:val="2"/>
        <w:keepNext w:val="0"/>
        <w:keepLines w:val="0"/>
        <w:pageBreakBefore w:val="0"/>
        <w:widowControl w:val="0"/>
        <w:kinsoku/>
        <w:wordWrap/>
        <w:overflowPunct/>
        <w:topLinePunct w:val="0"/>
        <w:bidi w:val="0"/>
        <w:snapToGrid/>
        <w:spacing w:line="560" w:lineRule="exact"/>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为了做好绩效评价工作,规范和加强专项资金管理,切实提高专项资金的使用绩效和管理水平,</w:t>
      </w:r>
      <w:r>
        <w:rPr>
          <w:rFonts w:hint="eastAsia" w:cs="Times New Roman"/>
          <w:kern w:val="2"/>
          <w:sz w:val="32"/>
          <w:szCs w:val="32"/>
          <w:highlight w:val="none"/>
          <w:lang w:val="en-US" w:eastAsia="zh-CN" w:bidi="ar-SA"/>
        </w:rPr>
        <w:t>我单位</w:t>
      </w:r>
      <w:r>
        <w:rPr>
          <w:rFonts w:hint="eastAsia" w:ascii="Times New Roman" w:hAnsi="Times New Roman" w:eastAsia="仿宋_GB2312" w:cs="Times New Roman"/>
          <w:kern w:val="2"/>
          <w:sz w:val="32"/>
          <w:szCs w:val="32"/>
          <w:highlight w:val="none"/>
          <w:lang w:val="en-US" w:eastAsia="zh-CN" w:bidi="ar-SA"/>
        </w:rPr>
        <w:t>成立了绩效评价管理工作领导小组,按照项目单位自评和主管部门评价相结合的方式,对</w:t>
      </w:r>
      <w:r>
        <w:rPr>
          <w:rFonts w:hint="eastAsia" w:cs="Times New Roman"/>
          <w:kern w:val="2"/>
          <w:sz w:val="32"/>
          <w:szCs w:val="32"/>
          <w:highlight w:val="none"/>
          <w:lang w:val="en-US" w:eastAsia="zh-CN" w:bidi="ar-SA"/>
        </w:rPr>
        <w:t>本单位2021</w:t>
      </w:r>
      <w:r>
        <w:rPr>
          <w:rFonts w:hint="eastAsia" w:ascii="Times New Roman" w:hAnsi="Times New Roman" w:eastAsia="仿宋_GB2312" w:cs="Times New Roman"/>
          <w:kern w:val="2"/>
          <w:sz w:val="32"/>
          <w:szCs w:val="32"/>
          <w:highlight w:val="none"/>
          <w:lang w:val="en-US" w:eastAsia="zh-CN" w:bidi="ar-SA"/>
        </w:rPr>
        <w:t>年度专项资金开展了绩效评价工作。</w:t>
      </w:r>
    </w:p>
    <w:p>
      <w:pPr>
        <w:pStyle w:val="2"/>
        <w:keepNext w:val="0"/>
        <w:keepLines w:val="0"/>
        <w:pageBreakBefore w:val="0"/>
        <w:widowControl w:val="0"/>
        <w:kinsoku/>
        <w:wordWrap/>
        <w:overflowPunct/>
        <w:topLinePunct w:val="0"/>
        <w:bidi w:val="0"/>
        <w:snapToGrid/>
        <w:spacing w:line="560" w:lineRule="exact"/>
        <w:ind w:firstLine="800" w:firstLineChars="250"/>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1、认真开展前期工作</w:t>
      </w:r>
    </w:p>
    <w:p>
      <w:pPr>
        <w:pStyle w:val="2"/>
        <w:keepNext w:val="0"/>
        <w:keepLines w:val="0"/>
        <w:pageBreakBefore w:val="0"/>
        <w:widowControl w:val="0"/>
        <w:kinsoku/>
        <w:wordWrap/>
        <w:overflowPunct/>
        <w:topLinePunct w:val="0"/>
        <w:bidi w:val="0"/>
        <w:snapToGrid/>
        <w:spacing w:line="560" w:lineRule="exact"/>
        <w:ind w:firstLine="800" w:firstLineChars="250"/>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根据下发的有关文件要求,我</w:t>
      </w:r>
      <w:r>
        <w:rPr>
          <w:rFonts w:hint="eastAsia" w:cs="Times New Roman"/>
          <w:kern w:val="2"/>
          <w:sz w:val="32"/>
          <w:szCs w:val="32"/>
          <w:highlight w:val="none"/>
          <w:lang w:val="en-US" w:eastAsia="zh-CN" w:bidi="ar-SA"/>
        </w:rPr>
        <w:t>单位</w:t>
      </w:r>
      <w:r>
        <w:rPr>
          <w:rFonts w:hint="eastAsia" w:ascii="Times New Roman" w:hAnsi="Times New Roman" w:eastAsia="仿宋_GB2312" w:cs="Times New Roman"/>
          <w:kern w:val="2"/>
          <w:sz w:val="32"/>
          <w:szCs w:val="32"/>
          <w:highlight w:val="none"/>
          <w:lang w:val="en-US" w:eastAsia="zh-CN" w:bidi="ar-SA"/>
        </w:rPr>
        <w:t>迅速向主要负责人报告有 关情况。按照主要领导的指示意见,组建了绩效评价管理工作领导小组,迅速开展前期各项准备工作。</w:t>
      </w:r>
    </w:p>
    <w:p>
      <w:pPr>
        <w:pStyle w:val="2"/>
        <w:keepNext w:val="0"/>
        <w:keepLines w:val="0"/>
        <w:pageBreakBefore w:val="0"/>
        <w:widowControl w:val="0"/>
        <w:numPr>
          <w:ilvl w:val="0"/>
          <w:numId w:val="2"/>
        </w:numPr>
        <w:kinsoku/>
        <w:wordWrap/>
        <w:overflowPunct/>
        <w:topLinePunct w:val="0"/>
        <w:bidi w:val="0"/>
        <w:snapToGrid/>
        <w:spacing w:line="560" w:lineRule="exact"/>
        <w:ind w:left="336" w:leftChars="0" w:firstLineChars="0"/>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有序开展绩效评价</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为确保绩效评价工作落到实处，取得成效，</w:t>
      </w:r>
      <w:r>
        <w:rPr>
          <w:rFonts w:hint="eastAsia" w:cs="Times New Roman"/>
          <w:kern w:val="2"/>
          <w:sz w:val="32"/>
          <w:szCs w:val="32"/>
          <w:highlight w:val="none"/>
          <w:lang w:val="en-US" w:eastAsia="zh-CN" w:bidi="ar-SA"/>
        </w:rPr>
        <w:t>我单位</w:t>
      </w:r>
      <w:r>
        <w:rPr>
          <w:rFonts w:hint="eastAsia" w:ascii="Times New Roman" w:hAnsi="Times New Roman" w:eastAsia="仿宋_GB2312" w:cs="Times New Roman"/>
          <w:kern w:val="2"/>
          <w:sz w:val="32"/>
          <w:szCs w:val="32"/>
          <w:highlight w:val="none"/>
          <w:lang w:val="en-US" w:eastAsia="zh-CN" w:bidi="ar-SA"/>
        </w:rPr>
        <w:t>组织召开了专题工作部署会，对组织开展绩效考评明确了具体要求，对绩效评价指标进行了详细解读，并对提出的问题进行了系统解答，为组织开展好绩效考评工作奠定了基础。根据实施方案要求，我</w:t>
      </w:r>
      <w:r>
        <w:rPr>
          <w:rFonts w:hint="eastAsia" w:cs="Times New Roman"/>
          <w:kern w:val="2"/>
          <w:sz w:val="32"/>
          <w:szCs w:val="32"/>
          <w:highlight w:val="none"/>
          <w:lang w:val="en-US" w:eastAsia="zh-CN" w:bidi="ar-SA"/>
        </w:rPr>
        <w:t>单位</w:t>
      </w:r>
      <w:r>
        <w:rPr>
          <w:rFonts w:hint="eastAsia" w:ascii="Times New Roman" w:hAnsi="Times New Roman" w:eastAsia="仿宋_GB2312" w:cs="Times New Roman"/>
          <w:kern w:val="2"/>
          <w:sz w:val="32"/>
          <w:szCs w:val="32"/>
          <w:highlight w:val="none"/>
          <w:lang w:val="en-US" w:eastAsia="zh-CN" w:bidi="ar-SA"/>
        </w:rPr>
        <w:t>组织力量进行了逐一梳理，并进行了数据分析</w:t>
      </w:r>
      <w:r>
        <w:rPr>
          <w:rFonts w:hint="eastAsia" w:cs="Times New Roman"/>
          <w:kern w:val="2"/>
          <w:sz w:val="32"/>
          <w:szCs w:val="32"/>
          <w:highlight w:val="none"/>
          <w:lang w:val="en-US" w:eastAsia="zh-CN" w:bidi="ar-SA"/>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1360" w:hanging="720"/>
        <w:textAlignment w:val="auto"/>
        <w:rPr>
          <w:rFonts w:ascii="Times New Roman" w:hAnsi="Times New Roman" w:eastAsia="黑体" w:cs="Times New Roman"/>
          <w:sz w:val="32"/>
          <w:szCs w:val="32"/>
          <w:lang w:bidi="ar-SA"/>
        </w:rPr>
      </w:pPr>
      <w:r>
        <w:rPr>
          <w:rFonts w:hint="eastAsia" w:ascii="Times New Roman" w:hAnsi="Times New Roman" w:eastAsia="黑体" w:cs="Times New Roman"/>
          <w:sz w:val="32"/>
          <w:szCs w:val="32"/>
          <w:lang w:eastAsia="zh-CN" w:bidi="ar-SA"/>
        </w:rPr>
        <w:t>项目支出</w:t>
      </w:r>
      <w:r>
        <w:rPr>
          <w:rFonts w:ascii="Times New Roman" w:hAnsi="Times New Roman" w:eastAsia="黑体" w:cs="Times New Roman"/>
          <w:sz w:val="32"/>
          <w:szCs w:val="32"/>
          <w:lang w:bidi="ar-SA"/>
        </w:rPr>
        <w:t>主要绩效</w:t>
      </w:r>
    </w:p>
    <w:p>
      <w:pPr>
        <w:keepNext w:val="0"/>
        <w:keepLines w:val="0"/>
        <w:pageBreakBefore w:val="0"/>
        <w:widowControl w:val="0"/>
        <w:kinsoku/>
        <w:wordWrap/>
        <w:overflowPunct/>
        <w:topLinePunct w:val="0"/>
        <w:bidi w:val="0"/>
        <w:snapToGrid/>
        <w:spacing w:line="560" w:lineRule="exact"/>
        <w:ind w:left="-140" w:leftChars="-50" w:right="-140" w:rightChars="-50" w:firstLine="602" w:firstLineChars="200"/>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b/>
          <w:sz w:val="30"/>
          <w:szCs w:val="30"/>
          <w:highlight w:val="none"/>
          <w:lang w:val="en-US" w:eastAsia="zh-CN"/>
        </w:rPr>
        <w:t>1、</w:t>
      </w:r>
      <w:r>
        <w:rPr>
          <w:rFonts w:hint="eastAsia" w:ascii="仿宋_GB2312" w:hAnsi="仿宋_GB2312" w:eastAsia="仿宋_GB2312" w:cs="仿宋_GB2312"/>
          <w:b/>
          <w:sz w:val="30"/>
          <w:szCs w:val="30"/>
          <w:highlight w:val="none"/>
        </w:rPr>
        <w:t>维护核心，坚定党的领导把航向。</w:t>
      </w:r>
      <w:r>
        <w:rPr>
          <w:rFonts w:hint="eastAsia" w:ascii="仿宋_GB2312" w:hAnsi="仿宋_GB2312" w:eastAsia="仿宋_GB2312" w:cs="仿宋_GB2312"/>
          <w:sz w:val="30"/>
          <w:szCs w:val="30"/>
          <w:highlight w:val="none"/>
        </w:rPr>
        <w:t>区政协始终站稳政治立场，把准政治方向，提升政治站位，确保政协工作沿着正确的政治方向前进。邀请区委主要领导调研政协工作，明确履职方向；《年度工作要点》以区委名义下文；组织刘少奇故居重温入党誓词、船山学社品味初心使命、珠海横琴体会改革伟业等教育活动30余场次，补足“精神之钙”，把牢思想和行动的“总开关”。10月份换届后，新一届领导班子带领全体党员干部，首站赴长沙党史馆开展“红船启航”红色教育，以体验式、沉浸式党史教育拉开六届政协序幕。</w:t>
      </w:r>
    </w:p>
    <w:p>
      <w:pPr>
        <w:keepNext w:val="0"/>
        <w:keepLines w:val="0"/>
        <w:pageBreakBefore w:val="0"/>
        <w:widowControl w:val="0"/>
        <w:kinsoku/>
        <w:wordWrap/>
        <w:overflowPunct/>
        <w:topLinePunct w:val="0"/>
        <w:bidi w:val="0"/>
        <w:snapToGrid/>
        <w:spacing w:line="560" w:lineRule="exact"/>
        <w:ind w:firstLine="602" w:firstLineChars="200"/>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b/>
          <w:sz w:val="30"/>
          <w:szCs w:val="30"/>
          <w:highlight w:val="none"/>
          <w:lang w:val="en-US" w:eastAsia="zh-CN"/>
        </w:rPr>
        <w:t>2、</w:t>
      </w:r>
      <w:r>
        <w:rPr>
          <w:rFonts w:hint="eastAsia" w:ascii="仿宋_GB2312" w:hAnsi="仿宋_GB2312" w:eastAsia="仿宋_GB2312" w:cs="仿宋_GB2312"/>
          <w:b/>
          <w:sz w:val="30"/>
          <w:szCs w:val="30"/>
          <w:highlight w:val="none"/>
        </w:rPr>
        <w:t>服务中心，积极咨政建言促发展。</w:t>
      </w:r>
      <w:r>
        <w:rPr>
          <w:rFonts w:hint="eastAsia" w:ascii="仿宋_GB2312" w:hAnsi="仿宋_GB2312" w:eastAsia="仿宋_GB2312" w:cs="仿宋_GB2312"/>
          <w:sz w:val="30"/>
          <w:szCs w:val="30"/>
          <w:highlight w:val="none"/>
        </w:rPr>
        <w:t>组织开展“打造长株潭都市圈融入一带一路和长江经济带的战略支点”专题协商1次，“小微水体管护”“农安小区提质改造”等主席会议视察5次，向区委、政府提出有分量的意见建议66条。特别是专题协商在市政协领导的带领下，赴合肥、郑州、济南等地考察调研，为调研报告形成指明了方向、提供了遵循，其调研报告荣获省政协优秀调研报告一等奖。全年共收到委员撰写的社情民意信息146篇，微建议139条，</w:t>
      </w:r>
      <w:r>
        <w:rPr>
          <w:rFonts w:hint="eastAsia" w:ascii="仿宋_GB2312" w:hAnsi="仿宋_GB2312" w:eastAsia="仿宋_GB2312" w:cs="仿宋_GB2312"/>
          <w:color w:val="000000"/>
          <w:sz w:val="30"/>
          <w:szCs w:val="30"/>
          <w:highlight w:val="none"/>
          <w:lang w:val="zh-TW"/>
        </w:rPr>
        <w:t>采用数居全市前列；</w:t>
      </w:r>
      <w:r>
        <w:rPr>
          <w:rFonts w:hint="eastAsia" w:ascii="仿宋_GB2312" w:hAnsi="仿宋_GB2312" w:eastAsia="仿宋_GB2312" w:cs="仿宋_GB2312"/>
          <w:sz w:val="30"/>
          <w:szCs w:val="30"/>
          <w:highlight w:val="none"/>
        </w:rPr>
        <w:t>收到委员提案144件，立案42件，</w:t>
      </w:r>
      <w:r>
        <w:rPr>
          <w:rFonts w:hint="eastAsia" w:ascii="仿宋_GB2312" w:hAnsi="仿宋_GB2312" w:eastAsia="仿宋_GB2312" w:cs="仿宋_GB2312"/>
          <w:color w:val="000000"/>
          <w:sz w:val="30"/>
          <w:szCs w:val="30"/>
          <w:highlight w:val="none"/>
        </w:rPr>
        <w:t>其中33件办理为A案，A案率78.6%，为历年来最高。</w:t>
      </w:r>
    </w:p>
    <w:p>
      <w:pPr>
        <w:keepNext w:val="0"/>
        <w:keepLines w:val="0"/>
        <w:pageBreakBefore w:val="0"/>
        <w:widowControl w:val="0"/>
        <w:kinsoku/>
        <w:wordWrap/>
        <w:overflowPunct/>
        <w:topLinePunct w:val="0"/>
        <w:bidi w:val="0"/>
        <w:snapToGrid/>
        <w:spacing w:line="560" w:lineRule="exact"/>
        <w:ind w:firstLine="602" w:firstLineChars="200"/>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b/>
          <w:sz w:val="30"/>
          <w:szCs w:val="30"/>
          <w:highlight w:val="none"/>
          <w:lang w:val="en-US" w:eastAsia="zh-CN"/>
        </w:rPr>
        <w:t>3、</w:t>
      </w:r>
      <w:r>
        <w:rPr>
          <w:rFonts w:hint="eastAsia" w:ascii="仿宋_GB2312" w:hAnsi="仿宋_GB2312" w:eastAsia="仿宋_GB2312" w:cs="仿宋_GB2312"/>
          <w:b/>
          <w:sz w:val="30"/>
          <w:szCs w:val="30"/>
          <w:highlight w:val="none"/>
        </w:rPr>
        <w:t>情系民心，书写民生答卷守初心。</w:t>
      </w:r>
      <w:r>
        <w:rPr>
          <w:rFonts w:hint="eastAsia" w:ascii="仿宋_GB2312" w:hAnsi="仿宋_GB2312" w:eastAsia="仿宋_GB2312" w:cs="仿宋_GB2312"/>
          <w:bCs/>
          <w:sz w:val="30"/>
          <w:szCs w:val="30"/>
          <w:highlight w:val="none"/>
        </w:rPr>
        <w:t>依托委员工作室，通过线上线下委员值班，架起委员服务群众的“连心桥”。全年，共有215名委员到街道和社区进行值班走访，收集民生问题700余条，推动解决了一批基层群众关注重大问题和民生诉求；聚焦民生热点，在全区16个街道开展基层协商，协商解决群众“急难愁盼”民生问题32个；</w:t>
      </w:r>
      <w:r>
        <w:rPr>
          <w:rFonts w:hint="eastAsia" w:ascii="仿宋_GB2312" w:hAnsi="仿宋_GB2312" w:eastAsia="仿宋_GB2312" w:cs="仿宋_GB2312"/>
          <w:sz w:val="30"/>
          <w:szCs w:val="30"/>
          <w:highlight w:val="none"/>
        </w:rPr>
        <w:t>组织开展“关爱地贫儿童”“送医药下乡”“抗疫大礼包”等履职活动300余场次，深受群众喜爱。3月，沙坪社区委员工作室作为全省唯一社区代表在全省政协委员工作室建设推进会上作经验交流，其“三诊”工作法上报全国政协，并迎接了全国政协视察</w:t>
      </w:r>
      <w:r>
        <w:rPr>
          <w:rFonts w:hint="eastAsia" w:ascii="仿宋_GB2312" w:hAnsi="仿宋_GB2312" w:eastAsia="仿宋_GB2312" w:cs="仿宋_GB2312"/>
          <w:bCs/>
          <w:sz w:val="30"/>
          <w:szCs w:val="30"/>
          <w:highlight w:val="none"/>
        </w:rPr>
        <w:t>调研。</w:t>
      </w:r>
    </w:p>
    <w:p>
      <w:pPr>
        <w:keepNext w:val="0"/>
        <w:keepLines w:val="0"/>
        <w:pageBreakBefore w:val="0"/>
        <w:widowControl w:val="0"/>
        <w:kinsoku/>
        <w:wordWrap/>
        <w:overflowPunct/>
        <w:topLinePunct w:val="0"/>
        <w:bidi w:val="0"/>
        <w:snapToGrid/>
        <w:spacing w:line="560" w:lineRule="exact"/>
        <w:ind w:firstLine="602" w:firstLineChars="200"/>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b/>
          <w:sz w:val="30"/>
          <w:szCs w:val="30"/>
          <w:highlight w:val="none"/>
          <w:lang w:val="en-US" w:eastAsia="zh-CN"/>
        </w:rPr>
        <w:t>4、</w:t>
      </w:r>
      <w:r>
        <w:rPr>
          <w:rFonts w:hint="eastAsia" w:ascii="仿宋_GB2312" w:hAnsi="仿宋_GB2312" w:eastAsia="仿宋_GB2312" w:cs="仿宋_GB2312"/>
          <w:b/>
          <w:sz w:val="30"/>
          <w:szCs w:val="30"/>
          <w:highlight w:val="none"/>
        </w:rPr>
        <w:t>凝聚人心，画大内外团结同心圆。</w:t>
      </w:r>
      <w:r>
        <w:rPr>
          <w:rFonts w:hint="eastAsia" w:ascii="仿宋_GB2312" w:hAnsi="仿宋_GB2312" w:eastAsia="仿宋_GB2312" w:cs="仿宋_GB2312"/>
          <w:sz w:val="30"/>
          <w:szCs w:val="30"/>
          <w:highlight w:val="none"/>
        </w:rPr>
        <w:t>切实加强与各民主党派、工商联、知联会及其他社会团体的沟通交流，凝聚共识，将扩大团结联谊与助力发展有机结合起来，</w:t>
      </w:r>
      <w:r>
        <w:rPr>
          <w:rFonts w:hint="eastAsia" w:ascii="仿宋_GB2312" w:hAnsi="仿宋_GB2312" w:eastAsia="仿宋_GB2312" w:cs="仿宋_GB2312"/>
          <w:bCs/>
          <w:sz w:val="30"/>
          <w:szCs w:val="30"/>
          <w:highlight w:val="none"/>
        </w:rPr>
        <w:t>发挥党外人士“智囊团”“人才库”的优势，</w:t>
      </w:r>
      <w:r>
        <w:rPr>
          <w:rFonts w:hint="eastAsia" w:ascii="仿宋_GB2312" w:hAnsi="仿宋_GB2312" w:eastAsia="仿宋_GB2312" w:cs="仿宋_GB2312"/>
          <w:sz w:val="30"/>
          <w:szCs w:val="30"/>
          <w:highlight w:val="none"/>
        </w:rPr>
        <w:t>把人脉资源转化为发展优势，形成大联合调研、大联合攻关的合力，共同破解区域发展难题；始终</w:t>
      </w:r>
      <w:r>
        <w:rPr>
          <w:rFonts w:hint="eastAsia" w:ascii="仿宋_GB2312" w:hAnsi="仿宋_GB2312" w:eastAsia="仿宋_GB2312" w:cs="仿宋_GB2312"/>
          <w:spacing w:val="-4"/>
          <w:sz w:val="30"/>
          <w:szCs w:val="30"/>
          <w:highlight w:val="none"/>
        </w:rPr>
        <w:t>保持政协机关“严细深实快”的工作作风，更好更优服务委员履职，推动政协工作全面提速提质提效；定期开展篮球赛、游泳比赛等形式多样的委员活动，充分展示政协人蓬勃向上的精神风貌，营造政协事业发展的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highlight w:val="none"/>
          <w:lang w:bidi="ar-SA"/>
        </w:rPr>
      </w:pPr>
      <w:r>
        <w:rPr>
          <w:rFonts w:ascii="Times New Roman" w:hAnsi="Times New Roman" w:eastAsia="黑体" w:cs="Times New Roman"/>
          <w:sz w:val="32"/>
          <w:szCs w:val="32"/>
          <w:highlight w:val="none"/>
          <w:lang w:bidi="ar-SA"/>
        </w:rPr>
        <w:t>四、存在的问题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bidi="ar-SA"/>
        </w:rPr>
      </w:pPr>
      <w:r>
        <w:rPr>
          <w:rFonts w:hint="eastAsia" w:ascii="Times New Roman" w:hAnsi="Times New Roman" w:eastAsia="仿宋_GB2312" w:cs="Times New Roman"/>
          <w:sz w:val="32"/>
          <w:szCs w:val="32"/>
          <w:highlight w:val="none"/>
          <w:lang w:bidi="ar-SA"/>
        </w:rPr>
        <w:t>绩效目标编制有待进一步完善。项目单位编制的绩效目标缺乏数量指标和时效指标，完善绩效目标的编制，在编制绩效目标时对绩效指标进行量化，设立清晰、具体可以衡量的绩效指标，以便于进行绩效考核。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ascii="Times New Roman" w:hAnsi="Times New Roman" w:eastAsia="黑体" w:cs="Times New Roman"/>
          <w:sz w:val="32"/>
          <w:szCs w:val="32"/>
          <w:highlight w:val="none"/>
          <w:lang w:bidi="ar-SA"/>
        </w:rPr>
      </w:pPr>
      <w:r>
        <w:rPr>
          <w:rFonts w:hint="eastAsia" w:eastAsia="黑体" w:cs="Times New Roman"/>
          <w:sz w:val="32"/>
          <w:szCs w:val="32"/>
          <w:highlight w:val="none"/>
          <w:lang w:eastAsia="zh-CN" w:bidi="ar-SA"/>
        </w:rPr>
        <w:t>五、</w:t>
      </w:r>
      <w:r>
        <w:rPr>
          <w:rFonts w:ascii="Times New Roman" w:hAnsi="Times New Roman" w:eastAsia="黑体" w:cs="Times New Roman"/>
          <w:sz w:val="32"/>
          <w:szCs w:val="32"/>
          <w:highlight w:val="none"/>
          <w:lang w:bidi="ar-SA"/>
        </w:rPr>
        <w:t>有关建议</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pPr>
      <w:r>
        <w:rPr>
          <w:rFonts w:hint="eastAsia" w:ascii="Times New Roman" w:hAnsi="Times New Roman" w:eastAsia="仿宋_GB2312" w:cs="Times New Roman"/>
          <w:kern w:val="2"/>
          <w:sz w:val="32"/>
          <w:szCs w:val="32"/>
          <w:highlight w:val="none"/>
          <w:lang w:val="en-US" w:eastAsia="zh-CN" w:bidi="ar-SA"/>
        </w:rPr>
        <w:t>做好项目实施的跟踪检查工作。定期不定期地对项目实施情况和经费使用情况进行跟踪检查，对能实现预期绩效目标的项目予以充分肯定，对进展缓慢，预期绩效目标较差的项目，及时进行协调和提出整改措施，确保项目实施工作正常运行，达到预期绩效目标。一是进一步健全和完善财务管理制度及内部控制制度，创新管理手段，用新思路、新方法，改进完善财务管理方法。二是按照财政支出绩效管理的要求，建立科学的财政资金效益考评制度体系，不断提高财政资金使用管理的水平和效率。三是加强部门预算整体绩效管理的指导和培训，增强提高绩效管理业务人员绩效管理能力、专业素质和思想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highlight w:val="none"/>
          <w:lang w:bidi="ar-SA"/>
        </w:rPr>
      </w:pPr>
      <w:r>
        <w:rPr>
          <w:rFonts w:ascii="Times New Roman" w:hAnsi="Times New Roman" w:eastAsia="黑体" w:cs="Times New Roman"/>
          <w:sz w:val="32"/>
          <w:szCs w:val="32"/>
          <w:highlight w:val="none"/>
          <w:lang w:bidi="ar-SA"/>
        </w:rPr>
        <w:t>六、其他需要说明的问题</w:t>
      </w:r>
    </w:p>
    <w:p>
      <w:pPr>
        <w:pStyle w:val="2"/>
        <w:keepNext w:val="0"/>
        <w:keepLines w:val="0"/>
        <w:pageBreakBefore w:val="0"/>
        <w:widowControl w:val="0"/>
        <w:kinsoku/>
        <w:wordWrap/>
        <w:overflowPunct/>
        <w:topLinePunct w:val="0"/>
        <w:bidi w:val="0"/>
        <w:snapToGrid/>
        <w:spacing w:line="560" w:lineRule="exact"/>
        <w:ind w:left="0" w:leftChars="0" w:firstLine="640" w:firstLineChars="200"/>
        <w:textAlignment w:val="auto"/>
        <w:rPr>
          <w:rFonts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不断完善绩效管理，提高财政资金使用效益，推动预算绩效管理工作的开展，逐步建立“预算编制有目标、预算执行有监控、预算完成有评价、评价结果又应用”预算绩效管理机制。有效提高财政资金保用效益，推动预算绩效管理工作的开展。</w:t>
      </w:r>
    </w:p>
    <w:p>
      <w:pPr>
        <w:adjustRightInd w:val="0"/>
        <w:snapToGrid w:val="0"/>
        <w:spacing w:line="560" w:lineRule="exact"/>
        <w:ind w:left="0" w:leftChars="0"/>
        <w:rPr>
          <w:rFonts w:hint="eastAsia" w:ascii="仿宋_GB2312"/>
          <w:szCs w:val="28"/>
          <w:lang w:eastAsia="zh-CN"/>
        </w:rPr>
      </w:pPr>
    </w:p>
    <w:p>
      <w:pPr>
        <w:ind w:left="0" w:leftChars="0"/>
      </w:pPr>
    </w:p>
    <w:sectPr>
      <w:footerReference r:id="rId3" w:type="default"/>
      <w:footerReference r:id="rId4" w:type="even"/>
      <w:pgSz w:w="11907" w:h="16840"/>
      <w:pgMar w:top="2154" w:right="1474" w:bottom="2041" w:left="1587" w:header="851" w:footer="992" w:gutter="0"/>
      <w:cols w:space="720" w:num="1"/>
      <w:docGrid w:type="lines" w:linePitch="381"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70DEF8B-8E08-41B9-9288-A9A6196262D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6A06BC4F-61CF-4C4F-9595-04E4087F56B8}"/>
  </w:font>
  <w:font w:name="仿宋_GB2312">
    <w:altName w:val="仿宋"/>
    <w:panose1 w:val="02010609030101010101"/>
    <w:charset w:val="86"/>
    <w:family w:val="modern"/>
    <w:pitch w:val="default"/>
    <w:sig w:usb0="00000000" w:usb1="00000000" w:usb2="00000000" w:usb3="00000000" w:csb0="00040000" w:csb1="00000000"/>
    <w:embedRegular r:id="rId3" w:fontKey="{5C1AD4DC-F617-4A20-BE20-819FE066969A}"/>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4" w:fontKey="{5E3206A7-F1D6-49B6-B786-0B2E200A9B29}"/>
  </w:font>
  <w:font w:name="楷体_GB2312">
    <w:altName w:val="楷体"/>
    <w:panose1 w:val="02010609030101010101"/>
    <w:charset w:val="86"/>
    <w:family w:val="modern"/>
    <w:pitch w:val="default"/>
    <w:sig w:usb0="00000000" w:usb1="00000000" w:usb2="00000010" w:usb3="00000000" w:csb0="00040000" w:csb1="00000000"/>
    <w:embedRegular r:id="rId5" w:fontKey="{CA085E44-660B-46C3-BBAC-F88B86E95C45}"/>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300" cy="2305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22300" cy="230505"/>
                      </a:xfrm>
                      <a:prstGeom prst="rect">
                        <a:avLst/>
                      </a:prstGeom>
                      <a:noFill/>
                      <a:ln>
                        <a:noFill/>
                      </a:ln>
                    </wps:spPr>
                    <wps:txbx>
                      <w:txbxContent>
                        <w:p>
                          <w:pPr>
                            <w:pStyle w:val="3"/>
                            <w:rPr>
                              <w:rStyle w:val="7"/>
                              <w:sz w:val="28"/>
                              <w:szCs w:val="28"/>
                            </w:rPr>
                          </w:pPr>
                          <w:r>
                            <w:rPr>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21</w:t>
                          </w:r>
                          <w:r>
                            <w:rPr>
                              <w:sz w:val="28"/>
                              <w:szCs w:val="28"/>
                            </w:rPr>
                            <w:fldChar w:fldCharType="end"/>
                          </w:r>
                          <w:r>
                            <w:rPr>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8.15pt;width:49pt;mso-position-horizontal:outside;mso-position-horizontal-relative:margin;mso-wrap-style:none;z-index:251659264;mso-width-relative:page;mso-height-relative:page;" filled="f" stroked="f" coordsize="21600,21600" o:gfxdata="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JKL970QAAAAMBAAAPAAAAAAAAAAEAIAAAACIAAABkcnMvZG93bnJl&#10;di54bWxQSwECFAAUAAAACACHTuJAHRkCL8sBAACXAwAADgAAAAAAAAABACAAAAAgAQAAZHJzL2Uy&#10;b0RvYy54bWxQSwUGAAAAAAYABgBZAQAAXQUAAAAA&#10;">
              <v:fill on="f" focussize="0,0"/>
              <v:stroke on="f"/>
              <v:imagedata o:title=""/>
              <o:lock v:ext="edit" aspectratio="f"/>
              <v:textbox inset="0mm,0mm,0mm,0mm" style="mso-fit-shape-to-text:t;">
                <w:txbxContent>
                  <w:p>
                    <w:pPr>
                      <w:pStyle w:val="3"/>
                      <w:rPr>
                        <w:rStyle w:val="7"/>
                        <w:sz w:val="28"/>
                        <w:szCs w:val="28"/>
                      </w:rPr>
                    </w:pPr>
                    <w:r>
                      <w:rPr>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21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711200"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11200" cy="230505"/>
                      </a:xfrm>
                      <a:prstGeom prst="rect">
                        <a:avLst/>
                      </a:prstGeom>
                      <a:noFill/>
                      <a:ln>
                        <a:noFill/>
                      </a:ln>
                    </wps:spPr>
                    <wps:txbx>
                      <w:txbxContent>
                        <w:p>
                          <w:pPr>
                            <w:pStyle w:val="3"/>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eastAsia="zh-CN"/>
                            </w:rPr>
                            <w:t>12</w:t>
                          </w:r>
                          <w:r>
                            <w:rPr>
                              <w:sz w:val="28"/>
                              <w:szCs w:val="28"/>
                            </w:rPr>
                            <w:fldChar w:fldCharType="end"/>
                          </w:r>
                          <w:r>
                            <w:rPr>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8.15pt;width:56pt;mso-position-horizontal:outside;mso-position-horizontal-relative:margin;mso-wrap-style:none;z-index:251660288;mso-width-relative:page;mso-height-relative:page;" filled="f" stroked="f" coordsize="21600,21600" o:gfxdata="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OEqjXNEAAAAEAQAADwAAAAAAAAABACAAAAAiAAAAZHJzL2Rvd25y&#10;ZXYueG1sUEsBAhQAFAAAAAgAh07iQGRwSZTMAQAAlwMAAA4AAAAAAAAAAQAgAAAAIAEAAGRycy9l&#10;Mm9Eb2MueG1sUEsFBgAAAAAGAAYAWQEAAF4FAAAAAA==&#10;">
              <v:fill on="f" focussize="0,0"/>
              <v:stroke on="f"/>
              <v:imagedata o:title=""/>
              <o:lock v:ext="edit" aspectratio="f"/>
              <v:textbox inset="0mm,0mm,0mm,0mm" style="mso-fit-shape-to-text:t;">
                <w:txbxContent>
                  <w:p>
                    <w:pPr>
                      <w:pStyle w:val="3"/>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eastAsia="zh-CN"/>
                      </w:rPr>
                      <w:t>12</w:t>
                    </w:r>
                    <w:r>
                      <w:rPr>
                        <w:sz w:val="28"/>
                        <w:szCs w:val="28"/>
                      </w:rPr>
                      <w:fldChar w:fldCharType="end"/>
                    </w:r>
                    <w:r>
                      <w:rPr>
                        <w:sz w:val="28"/>
                        <w:szCs w:val="28"/>
                      </w:rPr>
                      <w:t xml:space="preserve"> —</w:t>
                    </w:r>
                  </w:p>
                </w:txbxContent>
              </v:textbox>
            </v:shape>
          </w:pict>
        </mc:Fallback>
      </mc:AlternateContent>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B87962"/>
    <w:multiLevelType w:val="singleLevel"/>
    <w:tmpl w:val="0AB87962"/>
    <w:lvl w:ilvl="0" w:tentative="0">
      <w:start w:val="2"/>
      <w:numFmt w:val="decimal"/>
      <w:suff w:val="nothing"/>
      <w:lvlText w:val="%1、"/>
      <w:lvlJc w:val="left"/>
      <w:pPr>
        <w:ind w:left="336"/>
      </w:pPr>
    </w:lvl>
  </w:abstractNum>
  <w:abstractNum w:abstractNumId="1">
    <w:nsid w:val="318206AD"/>
    <w:multiLevelType w:val="multilevel"/>
    <w:tmpl w:val="318206AD"/>
    <w:lvl w:ilvl="0" w:tentative="0">
      <w:start w:val="1"/>
      <w:numFmt w:val="japaneseCounting"/>
      <w:lvlText w:val="%1、"/>
      <w:lvlJc w:val="left"/>
      <w:pPr>
        <w:tabs>
          <w:tab w:val="left" w:pos="0"/>
        </w:tabs>
        <w:ind w:left="1360" w:hanging="720"/>
      </w:pPr>
      <w:rPr>
        <w:rFonts w:hint="default"/>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abstractNum w:abstractNumId="2">
    <w:nsid w:val="79AC1E24"/>
    <w:multiLevelType w:val="multilevel"/>
    <w:tmpl w:val="79AC1E24"/>
    <w:lvl w:ilvl="0" w:tentative="0">
      <w:start w:val="1"/>
      <w:numFmt w:val="japaneseCounting"/>
      <w:lvlText w:val="（%1）"/>
      <w:lvlJc w:val="left"/>
      <w:pPr>
        <w:tabs>
          <w:tab w:val="left" w:pos="0"/>
        </w:tabs>
        <w:ind w:left="1720" w:hanging="1080"/>
      </w:pPr>
      <w:rPr>
        <w:rFonts w:hint="default"/>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jMWNiOTU2ZmM5YWJhMmViZjM2YWY1OWQ1MmJhNTIifQ=="/>
  </w:docVars>
  <w:rsids>
    <w:rsidRoot w:val="7AC85547"/>
    <w:rsid w:val="58833643"/>
    <w:rsid w:val="7AC85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1"/>
    <w:qFormat/>
    <w:uiPriority w:val="0"/>
    <w:pPr>
      <w:autoSpaceDE w:val="0"/>
      <w:autoSpaceDN w:val="0"/>
      <w:adjustRightInd w:val="0"/>
      <w:ind w:firstLine="420"/>
      <w:jc w:val="left"/>
    </w:pPr>
    <w:rPr>
      <w:kern w:val="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2818</Words>
  <Characters>2921</Characters>
  <Lines>0</Lines>
  <Paragraphs>0</Paragraphs>
  <TotalTime>1</TotalTime>
  <ScaleCrop>false</ScaleCrop>
  <LinksUpToDate>false</LinksUpToDate>
  <CharactersWithSpaces>2938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2022-09-19T02:27:00Z</dcterms:created>
  <dc:creator>Vi_she</dc:creator>
  <cp:lastModifiedBy>Vi_she</cp:lastModifiedBy>
  <dcterms:modified xsi:type="dcterms:W3CDTF">2022-09-26T01:36:54Z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A3270B2728754058B67C94F345109F3E</vt:lpwstr>
  </property>
</Properties>
</file>