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numPr>
          <w:ilvl w:val="0"/>
          <w:numId w:val="0"/>
        </w:numPr>
        <w:kinsoku/>
        <w:wordWrap/>
        <w:overflowPunct/>
        <w:topLinePunct w:val="0"/>
        <w:bidi w:val="0"/>
        <w:spacing w:line="560" w:lineRule="exact"/>
        <w:ind w:left="640" w:leftChars="0"/>
        <w:rPr>
          <w:rFonts w:hint="eastAsia" w:ascii="方正小标宋_GBK" w:hAnsi="方正小标宋_GBK" w:eastAsia="方正小标宋_GBK" w:cs="方正小标宋_GBK"/>
          <w:b w:val="0"/>
          <w:bCs w:val="0"/>
          <w:sz w:val="40"/>
          <w:szCs w:val="40"/>
          <w:lang w:val="en-US" w:eastAsia="zh-CN" w:bidi="ar-SA"/>
        </w:rPr>
      </w:pPr>
      <w:r>
        <w:rPr>
          <w:rFonts w:hint="eastAsia" w:ascii="方正小标宋_GBK" w:hAnsi="方正小标宋_GBK" w:eastAsia="方正小标宋_GBK" w:cs="方正小标宋_GBK"/>
          <w:b w:val="0"/>
          <w:bCs w:val="0"/>
          <w:sz w:val="40"/>
          <w:szCs w:val="40"/>
          <w:lang w:val="en-US" w:eastAsia="zh-CN" w:bidi="ar-SA"/>
        </w:rPr>
        <w:t>2021年度部门整体支出绩效评价报告</w:t>
      </w:r>
    </w:p>
    <w:p>
      <w:pPr>
        <w:pStyle w:val="9"/>
        <w:keepNext w:val="0"/>
        <w:keepLines w:val="0"/>
        <w:pageBreakBefore w:val="0"/>
        <w:widowControl/>
        <w:numPr>
          <w:ilvl w:val="0"/>
          <w:numId w:val="0"/>
        </w:numPr>
        <w:kinsoku/>
        <w:wordWrap/>
        <w:overflowPunct/>
        <w:topLinePunct w:val="0"/>
        <w:bidi w:val="0"/>
        <w:spacing w:line="560" w:lineRule="exact"/>
        <w:ind w:left="640" w:leftChars="0"/>
        <w:rPr>
          <w:rFonts w:ascii="Times New Roman" w:hAnsi="Times New Roman" w:eastAsia="黑体" w:cs="Times New Roman"/>
          <w:sz w:val="32"/>
          <w:szCs w:val="32"/>
          <w:lang w:bidi="ar-SA"/>
        </w:rPr>
      </w:pPr>
      <w:r>
        <w:rPr>
          <w:rFonts w:hint="eastAsia" w:eastAsia="黑体" w:cs="Times New Roman"/>
          <w:sz w:val="32"/>
          <w:szCs w:val="32"/>
          <w:lang w:eastAsia="zh-CN" w:bidi="ar-SA"/>
        </w:rPr>
        <w:t>一、</w:t>
      </w:r>
      <w:r>
        <w:rPr>
          <w:rFonts w:ascii="Times New Roman" w:hAnsi="Times New Roman" w:eastAsia="黑体" w:cs="Times New Roman"/>
          <w:sz w:val="32"/>
          <w:szCs w:val="32"/>
          <w:lang w:bidi="ar-SA"/>
        </w:rPr>
        <w:t>部门、单位基本情况</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人员情况</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bCs/>
          <w:color w:val="auto"/>
          <w:sz w:val="32"/>
          <w:szCs w:val="32"/>
        </w:rPr>
        <w:t>截至</w:t>
      </w:r>
      <w:r>
        <w:rPr>
          <w:rFonts w:hint="eastAsia" w:ascii="仿宋" w:hAnsi="仿宋" w:eastAsia="仿宋" w:cs="仿宋"/>
          <w:b w:val="0"/>
          <w:bCs w:val="0"/>
          <w:color w:val="auto"/>
          <w:sz w:val="32"/>
          <w:szCs w:val="32"/>
          <w:lang w:val="en-US" w:eastAsia="zh-CN"/>
        </w:rPr>
        <w:t>2021年12月31日，</w:t>
      </w:r>
      <w:r>
        <w:rPr>
          <w:rFonts w:hint="eastAsia" w:ascii="仿宋" w:hAnsi="仿宋" w:eastAsia="仿宋" w:cs="仿宋"/>
          <w:color w:val="auto"/>
          <w:kern w:val="0"/>
          <w:sz w:val="32"/>
          <w:szCs w:val="32"/>
        </w:rPr>
        <w:t>本部门编制数</w:t>
      </w:r>
      <w:r>
        <w:rPr>
          <w:rFonts w:hint="eastAsia" w:ascii="仿宋" w:hAnsi="仿宋" w:eastAsia="仿宋" w:cs="仿宋"/>
          <w:color w:val="auto"/>
          <w:kern w:val="0"/>
          <w:sz w:val="32"/>
          <w:szCs w:val="32"/>
          <w:lang w:val="en-US" w:eastAsia="zh-CN"/>
        </w:rPr>
        <w:t>32</w:t>
      </w:r>
      <w:r>
        <w:rPr>
          <w:rFonts w:hint="eastAsia" w:ascii="仿宋" w:hAnsi="仿宋" w:eastAsia="仿宋" w:cs="仿宋"/>
          <w:color w:val="auto"/>
          <w:kern w:val="0"/>
          <w:sz w:val="32"/>
          <w:szCs w:val="32"/>
        </w:rPr>
        <w:t>人，在职人数</w:t>
      </w:r>
      <w:r>
        <w:rPr>
          <w:rFonts w:hint="eastAsia" w:ascii="仿宋" w:hAnsi="仿宋" w:eastAsia="仿宋" w:cs="仿宋"/>
          <w:color w:val="auto"/>
          <w:kern w:val="0"/>
          <w:sz w:val="32"/>
          <w:szCs w:val="32"/>
          <w:lang w:val="en-US" w:eastAsia="zh-CN"/>
        </w:rPr>
        <w:t>32</w:t>
      </w:r>
      <w:r>
        <w:rPr>
          <w:rFonts w:hint="eastAsia" w:ascii="仿宋" w:hAnsi="仿宋" w:eastAsia="仿宋" w:cs="仿宋"/>
          <w:color w:val="auto"/>
          <w:kern w:val="0"/>
          <w:sz w:val="32"/>
          <w:szCs w:val="32"/>
        </w:rPr>
        <w:t>人，其中：在岗人数</w:t>
      </w:r>
      <w:r>
        <w:rPr>
          <w:rFonts w:hint="eastAsia" w:ascii="仿宋" w:hAnsi="仿宋" w:eastAsia="仿宋" w:cs="仿宋"/>
          <w:color w:val="auto"/>
          <w:kern w:val="0"/>
          <w:sz w:val="32"/>
          <w:szCs w:val="32"/>
          <w:lang w:val="en-US" w:eastAsia="zh-CN"/>
        </w:rPr>
        <w:t>32</w:t>
      </w:r>
      <w:r>
        <w:rPr>
          <w:rFonts w:hint="eastAsia" w:ascii="仿宋" w:hAnsi="仿宋" w:eastAsia="仿宋" w:cs="仿宋"/>
          <w:color w:val="auto"/>
          <w:kern w:val="0"/>
          <w:sz w:val="32"/>
          <w:szCs w:val="32"/>
        </w:rPr>
        <w:t>人；编外长期聘用人员</w:t>
      </w:r>
      <w:r>
        <w:rPr>
          <w:rFonts w:hint="eastAsia" w:ascii="仿宋" w:hAnsi="仿宋" w:eastAsia="仿宋" w:cs="仿宋"/>
          <w:color w:val="auto"/>
          <w:kern w:val="0"/>
          <w:sz w:val="32"/>
          <w:szCs w:val="32"/>
          <w:lang w:val="en-US" w:eastAsia="zh-CN"/>
        </w:rPr>
        <w:t>10</w:t>
      </w:r>
      <w:r>
        <w:rPr>
          <w:rFonts w:hint="eastAsia" w:ascii="仿宋" w:hAnsi="仿宋" w:eastAsia="仿宋" w:cs="仿宋"/>
          <w:color w:val="auto"/>
          <w:kern w:val="0"/>
          <w:sz w:val="32"/>
          <w:szCs w:val="32"/>
        </w:rPr>
        <w:t>人；离退休人数</w:t>
      </w:r>
      <w:r>
        <w:rPr>
          <w:rFonts w:hint="eastAsia" w:ascii="仿宋" w:hAnsi="仿宋" w:eastAsia="仿宋" w:cs="仿宋"/>
          <w:color w:val="auto"/>
          <w:kern w:val="0"/>
          <w:sz w:val="32"/>
          <w:szCs w:val="32"/>
          <w:lang w:val="en-US" w:eastAsia="zh-CN"/>
        </w:rPr>
        <w:t>11</w:t>
      </w:r>
      <w:r>
        <w:rPr>
          <w:rFonts w:hint="eastAsia" w:ascii="仿宋" w:hAnsi="仿宋" w:eastAsia="仿宋" w:cs="仿宋"/>
          <w:color w:val="auto"/>
          <w:kern w:val="0"/>
          <w:sz w:val="32"/>
          <w:szCs w:val="32"/>
        </w:rPr>
        <w:t>人，其中离休人员0人，退休人员</w:t>
      </w:r>
      <w:r>
        <w:rPr>
          <w:rFonts w:hint="eastAsia" w:ascii="仿宋" w:hAnsi="仿宋" w:eastAsia="仿宋" w:cs="仿宋"/>
          <w:color w:val="auto"/>
          <w:kern w:val="0"/>
          <w:sz w:val="32"/>
          <w:szCs w:val="32"/>
          <w:lang w:val="en-US" w:eastAsia="zh-CN"/>
        </w:rPr>
        <w:t>11</w:t>
      </w:r>
      <w:r>
        <w:rPr>
          <w:rFonts w:hint="eastAsia" w:ascii="仿宋" w:hAnsi="仿宋" w:eastAsia="仿宋" w:cs="仿宋"/>
          <w:color w:val="auto"/>
          <w:kern w:val="0"/>
          <w:sz w:val="32"/>
          <w:szCs w:val="32"/>
        </w:rPr>
        <w:t>人。</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机构设置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根据开办发【2019】84号文，</w:t>
      </w:r>
      <w:r>
        <w:rPr>
          <w:rFonts w:hint="eastAsia" w:ascii="仿宋" w:hAnsi="仿宋" w:eastAsia="仿宋" w:cs="仿宋"/>
          <w:color w:val="auto"/>
          <w:kern w:val="0"/>
          <w:sz w:val="32"/>
          <w:szCs w:val="32"/>
          <w:lang w:eastAsia="zh-CN"/>
        </w:rPr>
        <w:t>中国人民政治协商会议长沙市开福区委员会（以下简称区政协）设办事机构</w:t>
      </w:r>
      <w:r>
        <w:rPr>
          <w:rFonts w:hint="eastAsia" w:ascii="仿宋" w:hAnsi="仿宋" w:eastAsia="仿宋" w:cs="仿宋"/>
          <w:color w:val="auto"/>
          <w:kern w:val="0"/>
          <w:sz w:val="32"/>
          <w:szCs w:val="32"/>
          <w:lang w:val="en-US" w:eastAsia="zh-CN"/>
        </w:rPr>
        <w:t>1个：区政协办公室；区政协设专门委员会6个：</w:t>
      </w:r>
      <w:r>
        <w:rPr>
          <w:rFonts w:hint="eastAsia" w:ascii="仿宋" w:hAnsi="仿宋" w:eastAsia="仿宋" w:cs="仿宋"/>
          <w:color w:val="auto"/>
          <w:kern w:val="0"/>
          <w:sz w:val="32"/>
          <w:szCs w:val="32"/>
        </w:rPr>
        <w:t>区政协委员学习联络委员会、区政协提案委员会、区政协经济科技和外事委员会、区政协农业农村和人口资源环境委员会、区政协文教卫体和文史委员会、区政协社会法制和民族宗教委员会。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根据开编</w:t>
      </w:r>
      <w:bookmarkStart w:id="0" w:name="_GoBack"/>
      <w:bookmarkEnd w:id="0"/>
      <w:r>
        <w:rPr>
          <w:rFonts w:hint="eastAsia" w:ascii="仿宋" w:hAnsi="仿宋" w:eastAsia="仿宋" w:cs="仿宋"/>
          <w:color w:val="auto"/>
          <w:kern w:val="0"/>
          <w:sz w:val="32"/>
          <w:szCs w:val="32"/>
          <w:lang w:val="en-US" w:eastAsia="zh-CN"/>
        </w:rPr>
        <w:t>办</w:t>
      </w:r>
      <w:r>
        <w:rPr>
          <w:rFonts w:hint="eastAsia" w:ascii="仿宋" w:hAnsi="仿宋" w:eastAsia="仿宋" w:cs="仿宋"/>
          <w:color w:val="auto"/>
          <w:kern w:val="0"/>
          <w:sz w:val="32"/>
          <w:szCs w:val="32"/>
        </w:rPr>
        <w:t>【2019】</w:t>
      </w:r>
      <w:r>
        <w:rPr>
          <w:rFonts w:hint="eastAsia" w:ascii="仿宋" w:hAnsi="仿宋" w:eastAsia="仿宋" w:cs="仿宋"/>
          <w:color w:val="auto"/>
          <w:kern w:val="0"/>
          <w:sz w:val="32"/>
          <w:szCs w:val="32"/>
          <w:lang w:val="en-US" w:eastAsia="zh-CN"/>
        </w:rPr>
        <w:t>9号文，成立长沙市开福区政协委员服务中心，为区政协办公室所属公益一类事业单位。</w:t>
      </w:r>
    </w:p>
    <w:p>
      <w:pPr>
        <w:keepNext w:val="0"/>
        <w:keepLines w:val="0"/>
        <w:pageBreakBefore w:val="0"/>
        <w:numPr>
          <w:ilvl w:val="0"/>
          <w:numId w:val="1"/>
        </w:numPr>
        <w:shd w:val="clear" w:color="auto" w:fill="FFFFFF"/>
        <w:kinsoku/>
        <w:wordWrap/>
        <w:overflowPunct/>
        <w:topLinePunct w:val="0"/>
        <w:autoSpaceDE/>
        <w:autoSpaceDN/>
        <w:bidi w:val="0"/>
        <w:adjustRightInd w:val="0"/>
        <w:snapToGrid w:val="0"/>
        <w:spacing w:line="560" w:lineRule="exact"/>
        <w:ind w:left="0" w:leftChars="0" w:firstLine="643" w:firstLineChars="200"/>
        <w:textAlignment w:val="bottom"/>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主要</w:t>
      </w:r>
      <w:r>
        <w:rPr>
          <w:rFonts w:hint="eastAsia" w:ascii="仿宋" w:hAnsi="仿宋" w:eastAsia="仿宋" w:cs="仿宋"/>
          <w:b/>
          <w:bCs/>
          <w:color w:val="auto"/>
          <w:sz w:val="32"/>
          <w:szCs w:val="32"/>
        </w:rPr>
        <w:t>职能职责</w:t>
      </w:r>
      <w:r>
        <w:rPr>
          <w:rFonts w:hint="eastAsia" w:ascii="仿宋" w:hAnsi="仿宋" w:eastAsia="仿宋" w:cs="仿宋"/>
          <w:b/>
          <w:bCs/>
          <w:color w:val="auto"/>
          <w:sz w:val="32"/>
          <w:szCs w:val="32"/>
          <w:lang w:val="en-US" w:eastAsia="zh-CN"/>
        </w:rPr>
        <w:t xml:space="preserve"> </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textAlignment w:val="bottom"/>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负责区政协全体会议、常务委员会议、主席会议、主席办公会、常务委员专题座谈会和专门委员会的会务工作，负责上述会议所形成的决议、决定、建议案的组织实施；组织委员履行好政治协商、民主监督、参政议政的基本职能；负责区政协委员会进行视察、考察、参观、调查、座谈、学习、研讨等日常活动的后勤服务和具体组织工作；宣传人民政协的性质、地位、作用及党对人民政协的方针、政策，宣传人民政协的工作业绩、经验及政协委员的先进事迹；收集和反映区政协委员和各界人士的意见与建议，综合反映社情民意；联系和指导各民主党派、工商联、各人民团体和无党派人士，联系区直有关部门，互通信息，协调工作，加强合作；负责权限范围内的人事任免、机构调整和机关干部职工的教育管理工作。</w:t>
      </w:r>
    </w:p>
    <w:p>
      <w:pPr>
        <w:keepNext w:val="0"/>
        <w:keepLines w:val="0"/>
        <w:pageBreakBefore w:val="0"/>
        <w:kinsoku/>
        <w:wordWrap/>
        <w:overflowPunct/>
        <w:topLinePunct w:val="0"/>
        <w:autoSpaceDE/>
        <w:autoSpaceDN/>
        <w:bidi w:val="0"/>
        <w:adjustRightInd w:val="0"/>
        <w:snapToGrid w:val="0"/>
        <w:spacing w:line="56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（四）</w:t>
      </w:r>
      <w:r>
        <w:rPr>
          <w:rFonts w:hint="eastAsia" w:ascii="仿宋" w:hAnsi="仿宋" w:eastAsia="仿宋" w:cs="仿宋"/>
          <w:b/>
          <w:color w:val="auto"/>
          <w:sz w:val="32"/>
          <w:szCs w:val="32"/>
        </w:rPr>
        <w:t>当年取得的主要事业成效</w:t>
      </w:r>
    </w:p>
    <w:p>
      <w:pPr>
        <w:pStyle w:val="9"/>
        <w:keepNext w:val="0"/>
        <w:keepLines w:val="0"/>
        <w:pageBreakBefore w:val="0"/>
        <w:widowControl/>
        <w:numPr>
          <w:ilvl w:val="0"/>
          <w:numId w:val="2"/>
        </w:numPr>
        <w:kinsoku/>
        <w:wordWrap/>
        <w:overflowPunct/>
        <w:topLinePunct w:val="0"/>
        <w:bidi w:val="0"/>
        <w:spacing w:line="560" w:lineRule="exact"/>
        <w:ind w:firstLineChars="0"/>
        <w:rPr>
          <w:rFonts w:ascii="Times New Roman" w:hAnsi="Times New Roman" w:eastAsia="黑体" w:cs="Times New Roman"/>
          <w:sz w:val="32"/>
          <w:szCs w:val="32"/>
          <w:lang w:bidi="ar-SA"/>
        </w:rPr>
      </w:pPr>
      <w:r>
        <w:rPr>
          <w:rFonts w:ascii="Times New Roman" w:hAnsi="Times New Roman" w:eastAsia="黑体" w:cs="Times New Roman"/>
          <w:sz w:val="32"/>
          <w:szCs w:val="32"/>
          <w:lang w:bidi="ar-SA"/>
        </w:rPr>
        <w:t>一般公共预算支出情况</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rPr>
          <w:rFonts w:hint="eastAsia" w:ascii="仿宋" w:hAnsi="仿宋" w:eastAsia="仿宋" w:cs="仿宋"/>
          <w:color w:val="auto"/>
          <w:sz w:val="32"/>
          <w:szCs w:val="32"/>
          <w:highlight w:val="yellow"/>
          <w:lang w:eastAsia="zh-CN"/>
        </w:rPr>
      </w:pPr>
      <w:r>
        <w:rPr>
          <w:rFonts w:hint="eastAsia" w:ascii="仿宋" w:hAnsi="仿宋" w:eastAsia="仿宋" w:cs="仿宋"/>
          <w:bCs/>
          <w:color w:val="auto"/>
          <w:sz w:val="32"/>
          <w:szCs w:val="32"/>
          <w:highlight w:val="none"/>
        </w:rPr>
        <w:t>20</w:t>
      </w:r>
      <w:r>
        <w:rPr>
          <w:rFonts w:hint="eastAsia" w:ascii="仿宋" w:hAnsi="仿宋" w:eastAsia="仿宋" w:cs="仿宋"/>
          <w:bCs/>
          <w:color w:val="auto"/>
          <w:sz w:val="32"/>
          <w:szCs w:val="32"/>
          <w:highlight w:val="none"/>
          <w:lang w:val="en-US" w:eastAsia="zh-CN"/>
        </w:rPr>
        <w:t>21</w:t>
      </w:r>
      <w:r>
        <w:rPr>
          <w:rFonts w:hint="eastAsia" w:ascii="仿宋" w:hAnsi="仿宋" w:eastAsia="仿宋" w:cs="仿宋"/>
          <w:bCs/>
          <w:color w:val="auto"/>
          <w:sz w:val="32"/>
          <w:szCs w:val="32"/>
          <w:highlight w:val="none"/>
        </w:rPr>
        <w:t>年整体支出</w:t>
      </w:r>
      <w:r>
        <w:rPr>
          <w:rFonts w:hint="eastAsia" w:ascii="仿宋" w:hAnsi="仿宋" w:eastAsia="仿宋" w:cs="仿宋"/>
          <w:color w:val="auto"/>
          <w:sz w:val="32"/>
          <w:szCs w:val="32"/>
          <w:highlight w:val="none"/>
          <w:lang w:val="en-US" w:eastAsia="zh-CN"/>
        </w:rPr>
        <w:t>1494.3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其中:</w:t>
      </w:r>
      <w:r>
        <w:rPr>
          <w:rFonts w:hint="eastAsia" w:ascii="仿宋" w:hAnsi="仿宋" w:eastAsia="仿宋" w:cs="仿宋"/>
          <w:color w:val="auto"/>
          <w:sz w:val="32"/>
          <w:szCs w:val="32"/>
          <w:highlight w:val="none"/>
          <w:lang w:eastAsia="zh-CN"/>
        </w:rPr>
        <w:t>基本支出</w:t>
      </w:r>
      <w:r>
        <w:rPr>
          <w:rFonts w:hint="eastAsia" w:ascii="仿宋" w:hAnsi="仿宋" w:eastAsia="仿宋" w:cs="仿宋"/>
          <w:color w:val="auto"/>
          <w:sz w:val="32"/>
          <w:szCs w:val="32"/>
          <w:highlight w:val="none"/>
          <w:lang w:val="en-US" w:eastAsia="zh-CN"/>
        </w:rPr>
        <w:t>1137.44万元，</w:t>
      </w:r>
      <w:r>
        <w:rPr>
          <w:rFonts w:hint="eastAsia" w:ascii="仿宋" w:hAnsi="仿宋" w:eastAsia="仿宋" w:cs="仿宋"/>
          <w:color w:val="auto"/>
          <w:sz w:val="32"/>
          <w:szCs w:val="32"/>
          <w:highlight w:val="none"/>
        </w:rPr>
        <w:t>项目支出356.86万元</w:t>
      </w:r>
      <w:r>
        <w:rPr>
          <w:rFonts w:hint="eastAsia" w:ascii="仿宋" w:hAnsi="仿宋" w:eastAsia="仿宋" w:cs="仿宋"/>
          <w:color w:val="auto"/>
          <w:sz w:val="32"/>
          <w:szCs w:val="32"/>
          <w:highlight w:val="none"/>
          <w:lang w:eastAsia="zh-CN"/>
        </w:rPr>
        <w:t>。</w:t>
      </w:r>
    </w:p>
    <w:p>
      <w:pPr>
        <w:pStyle w:val="9"/>
        <w:keepNext w:val="0"/>
        <w:keepLines w:val="0"/>
        <w:pageBreakBefore w:val="0"/>
        <w:widowControl/>
        <w:numPr>
          <w:ilvl w:val="0"/>
          <w:numId w:val="3"/>
        </w:numPr>
        <w:kinsoku/>
        <w:wordWrap/>
        <w:overflowPunct/>
        <w:topLinePunct w:val="0"/>
        <w:autoSpaceDE/>
        <w:autoSpaceDN/>
        <w:bidi w:val="0"/>
        <w:adjustRightInd w:val="0"/>
        <w:snapToGrid w:val="0"/>
        <w:spacing w:line="560" w:lineRule="exact"/>
        <w:ind w:firstLineChars="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基本支出情况</w:t>
      </w:r>
    </w:p>
    <w:p>
      <w:pPr>
        <w:keepNext w:val="0"/>
        <w:keepLines w:val="0"/>
        <w:pageBreakBefore w:val="0"/>
        <w:kinsoku/>
        <w:wordWrap/>
        <w:overflowPunct/>
        <w:topLinePunct w:val="0"/>
        <w:autoSpaceDE/>
        <w:autoSpaceDN/>
        <w:bidi w:val="0"/>
        <w:adjustRightInd w:val="0"/>
        <w:snapToGrid w:val="0"/>
        <w:spacing w:line="560" w:lineRule="exact"/>
        <w:ind w:firstLine="642"/>
        <w:textAlignment w:val="auto"/>
        <w:rPr>
          <w:rFonts w:hint="eastAsia" w:ascii="仿宋" w:hAnsi="仿宋" w:eastAsia="仿宋" w:cs="仿宋"/>
          <w:color w:val="auto"/>
          <w:sz w:val="32"/>
          <w:szCs w:val="32"/>
          <w:highlight w:val="none"/>
        </w:rPr>
      </w:pPr>
      <w:r>
        <w:rPr>
          <w:rFonts w:hint="eastAsia" w:ascii="仿宋" w:hAnsi="仿宋" w:eastAsia="仿宋" w:cs="仿宋"/>
          <w:bCs/>
          <w:color w:val="auto"/>
          <w:sz w:val="32"/>
          <w:szCs w:val="32"/>
          <w:highlight w:val="none"/>
        </w:rPr>
        <w:t>20</w:t>
      </w:r>
      <w:r>
        <w:rPr>
          <w:rFonts w:hint="eastAsia" w:ascii="仿宋" w:hAnsi="仿宋" w:eastAsia="仿宋" w:cs="仿宋"/>
          <w:bCs/>
          <w:color w:val="auto"/>
          <w:sz w:val="32"/>
          <w:szCs w:val="32"/>
          <w:highlight w:val="none"/>
          <w:lang w:val="en-US" w:eastAsia="zh-CN"/>
        </w:rPr>
        <w:t>21</w:t>
      </w:r>
      <w:r>
        <w:rPr>
          <w:rFonts w:hint="eastAsia" w:ascii="仿宋" w:hAnsi="仿宋" w:eastAsia="仿宋" w:cs="仿宋"/>
          <w:bCs/>
          <w:color w:val="auto"/>
          <w:sz w:val="32"/>
          <w:szCs w:val="32"/>
          <w:highlight w:val="none"/>
        </w:rPr>
        <w:t>年</w:t>
      </w:r>
      <w:r>
        <w:rPr>
          <w:rFonts w:hint="eastAsia" w:ascii="仿宋" w:hAnsi="仿宋" w:eastAsia="仿宋" w:cs="仿宋"/>
          <w:color w:val="auto"/>
          <w:sz w:val="32"/>
          <w:szCs w:val="32"/>
          <w:highlight w:val="none"/>
          <w:lang w:eastAsia="zh-CN"/>
        </w:rPr>
        <w:t>基本</w:t>
      </w:r>
      <w:r>
        <w:rPr>
          <w:rFonts w:hint="eastAsia" w:ascii="仿宋" w:hAnsi="仿宋" w:eastAsia="仿宋" w:cs="仿宋"/>
          <w:color w:val="auto"/>
          <w:sz w:val="32"/>
          <w:szCs w:val="32"/>
          <w:highlight w:val="none"/>
        </w:rPr>
        <w:t>支出为</w:t>
      </w:r>
      <w:r>
        <w:rPr>
          <w:rFonts w:hint="eastAsia" w:ascii="仿宋" w:hAnsi="仿宋" w:eastAsia="仿宋" w:cs="仿宋"/>
          <w:color w:val="auto"/>
          <w:sz w:val="32"/>
          <w:szCs w:val="32"/>
          <w:highlight w:val="none"/>
          <w:lang w:val="en-US" w:eastAsia="zh-CN"/>
        </w:rPr>
        <w:t>1137.44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，其中：</w:t>
      </w:r>
      <w:r>
        <w:rPr>
          <w:rFonts w:hint="eastAsia" w:ascii="仿宋" w:hAnsi="仿宋" w:eastAsia="仿宋" w:cs="仿宋"/>
          <w:color w:val="auto"/>
          <w:sz w:val="32"/>
          <w:szCs w:val="32"/>
          <w:highlight w:val="none"/>
        </w:rPr>
        <w:t>工资及福利支出</w:t>
      </w:r>
      <w:r>
        <w:rPr>
          <w:rFonts w:hint="eastAsia" w:ascii="仿宋" w:hAnsi="仿宋" w:eastAsia="仿宋" w:cs="仿宋"/>
          <w:color w:val="auto"/>
          <w:sz w:val="32"/>
          <w:szCs w:val="32"/>
          <w:highlight w:val="none"/>
          <w:lang w:val="en-US" w:eastAsia="zh-CN"/>
        </w:rPr>
        <w:t>937.53</w:t>
      </w:r>
      <w:r>
        <w:rPr>
          <w:rFonts w:hint="eastAsia" w:ascii="仿宋" w:hAnsi="仿宋" w:eastAsia="仿宋" w:cs="仿宋"/>
          <w:color w:val="auto"/>
          <w:sz w:val="32"/>
          <w:szCs w:val="32"/>
          <w:highlight w:val="none"/>
        </w:rPr>
        <w:t>万元，对个人及家庭补助支出</w:t>
      </w:r>
      <w:r>
        <w:rPr>
          <w:rFonts w:hint="eastAsia" w:ascii="仿宋" w:hAnsi="仿宋" w:eastAsia="仿宋" w:cs="仿宋"/>
          <w:color w:val="auto"/>
          <w:sz w:val="32"/>
          <w:szCs w:val="32"/>
          <w:highlight w:val="none"/>
          <w:lang w:val="en-US" w:eastAsia="zh-CN"/>
        </w:rPr>
        <w:t>110.93</w:t>
      </w:r>
      <w:r>
        <w:rPr>
          <w:rFonts w:hint="eastAsia" w:ascii="仿宋" w:hAnsi="仿宋" w:eastAsia="仿宋" w:cs="仿宋"/>
          <w:color w:val="auto"/>
          <w:sz w:val="32"/>
          <w:szCs w:val="32"/>
          <w:highlight w:val="none"/>
        </w:rPr>
        <w:t>万元，商品和服务支</w:t>
      </w:r>
      <w:r>
        <w:rPr>
          <w:rFonts w:hint="eastAsia" w:ascii="仿宋" w:hAnsi="仿宋" w:eastAsia="仿宋" w:cs="仿宋"/>
          <w:color w:val="auto"/>
          <w:sz w:val="32"/>
          <w:szCs w:val="32"/>
          <w:highlight w:val="none"/>
          <w:lang w:eastAsia="zh-CN"/>
        </w:rPr>
        <w:t>出</w:t>
      </w:r>
      <w:r>
        <w:rPr>
          <w:rFonts w:hint="eastAsia" w:ascii="仿宋" w:hAnsi="仿宋" w:eastAsia="仿宋" w:cs="仿宋"/>
          <w:color w:val="auto"/>
          <w:sz w:val="32"/>
          <w:szCs w:val="32"/>
          <w:highlight w:val="none"/>
          <w:lang w:val="en-US" w:eastAsia="zh-CN"/>
        </w:rPr>
        <w:t>86.5</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，资本性支出</w:t>
      </w:r>
      <w:r>
        <w:rPr>
          <w:rFonts w:hint="eastAsia" w:ascii="仿宋" w:hAnsi="仿宋" w:eastAsia="仿宋" w:cs="仿宋"/>
          <w:color w:val="auto"/>
          <w:sz w:val="32"/>
          <w:szCs w:val="32"/>
          <w:highlight w:val="none"/>
          <w:lang w:val="en-US" w:eastAsia="zh-CN"/>
        </w:rPr>
        <w:t>2.48万元</w:t>
      </w:r>
      <w:r>
        <w:rPr>
          <w:rFonts w:hint="eastAsia" w:ascii="仿宋" w:hAnsi="仿宋" w:eastAsia="仿宋" w:cs="仿宋"/>
          <w:color w:val="auto"/>
          <w:sz w:val="32"/>
          <w:szCs w:val="32"/>
          <w:highlight w:val="none"/>
          <w:lang w:eastAsia="zh-CN"/>
        </w:rPr>
        <w:t>。</w:t>
      </w:r>
    </w:p>
    <w:p>
      <w:pPr>
        <w:pStyle w:val="9"/>
        <w:keepNext w:val="0"/>
        <w:keepLines w:val="0"/>
        <w:pageBreakBefore w:val="0"/>
        <w:widowControl/>
        <w:numPr>
          <w:ilvl w:val="0"/>
          <w:numId w:val="3"/>
        </w:numPr>
        <w:kinsoku/>
        <w:wordWrap/>
        <w:overflowPunct/>
        <w:topLinePunct w:val="0"/>
        <w:autoSpaceDE/>
        <w:autoSpaceDN/>
        <w:bidi w:val="0"/>
        <w:adjustRightInd w:val="0"/>
        <w:snapToGrid w:val="0"/>
        <w:spacing w:line="560" w:lineRule="exact"/>
        <w:ind w:firstLineChars="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项目支出情况</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color w:val="auto"/>
          <w:sz w:val="32"/>
          <w:szCs w:val="32"/>
          <w:highlight w:val="yellow"/>
        </w:rPr>
      </w:pPr>
      <w:r>
        <w:rPr>
          <w:rFonts w:hint="eastAsia" w:ascii="仿宋" w:hAnsi="仿宋" w:eastAsia="仿宋" w:cs="仿宋"/>
          <w:color w:val="auto"/>
          <w:sz w:val="32"/>
          <w:szCs w:val="32"/>
          <w:highlight w:val="none"/>
          <w:lang w:val="en-US" w:eastAsia="zh-CN"/>
        </w:rPr>
        <w:t>2021年项目支出356.86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。项目明细如下：</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1、委员活动项目经费110万元。</w:t>
      </w:r>
      <w:r>
        <w:rPr>
          <w:rFonts w:hint="eastAsia" w:ascii="仿宋" w:hAnsi="仿宋" w:eastAsia="仿宋" w:cs="仿宋"/>
          <w:color w:val="auto"/>
          <w:sz w:val="32"/>
          <w:szCs w:val="32"/>
          <w:highlight w:val="none"/>
          <w:lang w:val="en-US" w:eastAsia="zh-CN"/>
        </w:rPr>
        <w:t>举办游泳比赛等丰富多彩的文体活动，出版了《妙在一瞬》委员摄影作品集、《政协工作纪实片》，有效增进了委员之间的情感交流，激发了队伍的履职活力；注重委员人文关怀，通过寄送生日贺卡、看望慰问委员等活动，为委员们营造了获得感和归属感；积极组队参加市政协组织的篮球比赛。</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2、文史资料经费及湘声报订阅项目经费25万元。</w:t>
      </w:r>
      <w:r>
        <w:rPr>
          <w:rFonts w:hint="eastAsia" w:ascii="仿宋" w:hAnsi="仿宋" w:eastAsia="仿宋" w:cs="仿宋"/>
          <w:b w:val="0"/>
          <w:bCs w:val="0"/>
          <w:color w:val="auto"/>
          <w:sz w:val="32"/>
          <w:szCs w:val="32"/>
          <w:highlight w:val="none"/>
          <w:lang w:val="en-US" w:eastAsia="zh-CN"/>
        </w:rPr>
        <w:t>完成《开福老街》（暂定）编纂前期工作</w:t>
      </w:r>
      <w:r>
        <w:rPr>
          <w:rFonts w:hint="eastAsia" w:ascii="仿宋" w:hAnsi="仿宋" w:eastAsia="仿宋" w:cs="仿宋"/>
          <w:color w:val="auto"/>
          <w:sz w:val="32"/>
          <w:szCs w:val="32"/>
          <w:highlight w:val="none"/>
          <w:lang w:val="en-US" w:eastAsia="zh-CN"/>
        </w:rPr>
        <w:t>，订阅《湘声报》《人民政协报》等政协报刊杂志。</w:t>
      </w:r>
    </w:p>
    <w:p>
      <w:pPr>
        <w:keepNext w:val="0"/>
        <w:keepLines w:val="0"/>
        <w:pageBreakBefore w:val="0"/>
        <w:numPr>
          <w:ilvl w:val="0"/>
          <w:numId w:val="0"/>
        </w:numPr>
        <w:kinsoku/>
        <w:wordWrap/>
        <w:overflowPunct/>
        <w:topLinePunct w:val="0"/>
        <w:autoSpaceDE/>
        <w:autoSpaceDN/>
        <w:bidi w:val="0"/>
        <w:adjustRightInd w:val="0"/>
        <w:snapToGrid w:val="0"/>
        <w:spacing w:beforeAutospacing="0" w:line="560" w:lineRule="exact"/>
        <w:ind w:firstLine="643"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3、重点课题调研项目经费经费31万元。</w:t>
      </w:r>
      <w:r>
        <w:rPr>
          <w:rFonts w:hint="eastAsia" w:ascii="仿宋" w:hAnsi="仿宋" w:eastAsia="仿宋" w:cs="仿宋"/>
          <w:color w:val="auto"/>
          <w:sz w:val="32"/>
          <w:szCs w:val="32"/>
          <w:highlight w:val="none"/>
          <w:lang w:val="en-US" w:eastAsia="zh-CN"/>
        </w:rPr>
        <w:t>选择党政所想、民生所盼、委员所能的重点、热点课题，开展5次专题协商、5次主席会议视察。</w:t>
      </w:r>
    </w:p>
    <w:p>
      <w:pPr>
        <w:keepNext w:val="0"/>
        <w:keepLines w:val="0"/>
        <w:pageBreakBefore w:val="0"/>
        <w:numPr>
          <w:ilvl w:val="0"/>
          <w:numId w:val="0"/>
        </w:numPr>
        <w:kinsoku/>
        <w:wordWrap/>
        <w:overflowPunct/>
        <w:topLinePunct w:val="0"/>
        <w:autoSpaceDE/>
        <w:autoSpaceDN/>
        <w:bidi w:val="0"/>
        <w:adjustRightInd w:val="0"/>
        <w:snapToGrid w:val="0"/>
        <w:spacing w:beforeAutospacing="0" w:line="560" w:lineRule="exact"/>
        <w:ind w:firstLine="643"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4、提案督办及会议项目经费5万元。</w:t>
      </w:r>
      <w:r>
        <w:rPr>
          <w:rFonts w:hint="eastAsia" w:ascii="仿宋" w:hAnsi="仿宋" w:eastAsia="仿宋" w:cs="仿宋"/>
          <w:color w:val="auto"/>
          <w:sz w:val="32"/>
          <w:szCs w:val="32"/>
          <w:highlight w:val="none"/>
          <w:lang w:val="en-US" w:eastAsia="zh-CN"/>
        </w:rPr>
        <w:t>全年召开6次常委会，各办、委按季度召开工作例会，采取第三方评估的方式在委员提案中精选5件作为重点提案进行督办。</w:t>
      </w:r>
    </w:p>
    <w:p>
      <w:pPr>
        <w:pStyle w:val="3"/>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 w:hAnsi="仿宋" w:eastAsia="仿宋" w:cs="仿宋"/>
          <w:snapToGrid w:val="0"/>
          <w:color w:val="auto"/>
          <w:sz w:val="32"/>
          <w:szCs w:val="32"/>
          <w:highlight w:val="none"/>
          <w:lang w:val="en-US" w:eastAsia="zh-CN"/>
        </w:rPr>
      </w:pPr>
      <w:r>
        <w:rPr>
          <w:rFonts w:hint="eastAsia" w:ascii="仿宋" w:hAnsi="仿宋" w:eastAsia="仿宋" w:cs="仿宋"/>
          <w:b/>
          <w:bCs/>
          <w:color w:val="auto"/>
          <w:kern w:val="2"/>
          <w:sz w:val="32"/>
          <w:szCs w:val="32"/>
          <w:highlight w:val="none"/>
          <w:lang w:val="en-US" w:eastAsia="zh-CN" w:bidi="ar-SA"/>
        </w:rPr>
        <w:t>5、全区重大会议项目经费185.86万元。</w:t>
      </w:r>
      <w:r>
        <w:rPr>
          <w:rFonts w:hint="eastAsia" w:ascii="仿宋" w:hAnsi="仿宋" w:eastAsia="仿宋" w:cs="仿宋"/>
          <w:color w:val="auto"/>
          <w:sz w:val="32"/>
          <w:szCs w:val="32"/>
          <w:highlight w:val="none"/>
          <w:lang w:val="en-US" w:eastAsia="zh-CN"/>
        </w:rPr>
        <w:t>成功举办区政协五届七次、</w:t>
      </w:r>
      <w:r>
        <w:rPr>
          <w:rFonts w:hint="eastAsia" w:ascii="仿宋" w:hAnsi="仿宋" w:eastAsia="仿宋" w:cs="仿宋"/>
          <w:snapToGrid w:val="0"/>
          <w:color w:val="auto"/>
          <w:sz w:val="32"/>
          <w:szCs w:val="32"/>
          <w:highlight w:val="none"/>
          <w:lang w:val="en-US" w:eastAsia="zh-CN"/>
        </w:rPr>
        <w:t>五届八次全会、六届一次全会。</w:t>
      </w:r>
    </w:p>
    <w:p>
      <w:pPr>
        <w:keepNext w:val="0"/>
        <w:keepLines w:val="0"/>
        <w:pageBreakBefore w:val="0"/>
        <w:widowControl/>
        <w:kinsoku/>
        <w:wordWrap/>
        <w:overflowPunct/>
        <w:topLinePunct w:val="0"/>
        <w:bidi w:val="0"/>
        <w:spacing w:line="560" w:lineRule="exact"/>
        <w:ind w:firstLine="645"/>
        <w:jc w:val="left"/>
        <w:rPr>
          <w:rFonts w:ascii="Times New Roman" w:hAnsi="Times New Roman" w:eastAsia="黑体" w:cs="Times New Roman"/>
          <w:sz w:val="32"/>
          <w:szCs w:val="32"/>
          <w:highlight w:val="none"/>
          <w:lang w:bidi="ar-SA"/>
        </w:rPr>
      </w:pPr>
      <w:r>
        <w:rPr>
          <w:rFonts w:hint="eastAsia" w:ascii="Times New Roman" w:hAnsi="Times New Roman" w:eastAsia="黑体" w:cs="Times New Roman"/>
          <w:sz w:val="32"/>
          <w:szCs w:val="32"/>
          <w:highlight w:val="none"/>
          <w:lang w:eastAsia="zh-CN" w:bidi="ar-SA"/>
        </w:rPr>
        <w:t>三</w:t>
      </w:r>
      <w:r>
        <w:rPr>
          <w:rFonts w:ascii="Times New Roman" w:hAnsi="Times New Roman" w:eastAsia="黑体" w:cs="Times New Roman"/>
          <w:sz w:val="32"/>
          <w:szCs w:val="32"/>
          <w:highlight w:val="none"/>
          <w:lang w:bidi="ar-SA"/>
        </w:rPr>
        <w:t>、部门整体支出绩效情况</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cs="仿宋"/>
          <w:sz w:val="32"/>
          <w:szCs w:val="32"/>
          <w:highlight w:val="none"/>
          <w:lang w:bidi="ar-SA"/>
        </w:rPr>
      </w:pPr>
      <w:r>
        <w:rPr>
          <w:rFonts w:hint="eastAsia" w:ascii="Times New Roman" w:hAnsi="Times New Roman" w:cs="Times New Roman"/>
          <w:color w:val="000000"/>
          <w:sz w:val="32"/>
          <w:szCs w:val="32"/>
          <w:highlight w:val="none"/>
          <w:lang w:eastAsia="zh-CN" w:bidi="ar-SA"/>
        </w:rPr>
        <w:t>（一）</w:t>
      </w:r>
      <w:r>
        <w:rPr>
          <w:rFonts w:hint="eastAsia" w:ascii="仿宋_GB2312" w:cs="仿宋"/>
          <w:sz w:val="32"/>
          <w:szCs w:val="32"/>
          <w:highlight w:val="none"/>
          <w:lang w:bidi="ar-SA"/>
        </w:rPr>
        <w:t>绩效目标</w:t>
      </w:r>
      <w:r>
        <w:rPr>
          <w:rFonts w:hint="eastAsia" w:ascii="仿宋_GB2312" w:cs="仿宋"/>
          <w:sz w:val="32"/>
          <w:szCs w:val="32"/>
          <w:highlight w:val="none"/>
          <w:lang w:eastAsia="zh-CN" w:bidi="ar-SA"/>
        </w:rPr>
        <w:t>设置</w:t>
      </w:r>
      <w:r>
        <w:rPr>
          <w:rFonts w:hint="eastAsia" w:ascii="仿宋_GB2312" w:cs="仿宋"/>
          <w:sz w:val="32"/>
          <w:szCs w:val="32"/>
          <w:highlight w:val="none"/>
          <w:lang w:bidi="ar-SA"/>
        </w:rPr>
        <w:t>情况</w:t>
      </w:r>
    </w:p>
    <w:p>
      <w:pPr>
        <w:pStyle w:val="4"/>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Times New Roman" w:hAnsi="Times New Roman" w:cs="Times New Roman"/>
          <w:color w:val="000000"/>
          <w:kern w:val="2"/>
          <w:sz w:val="32"/>
          <w:szCs w:val="32"/>
          <w:highlight w:val="none"/>
          <w:lang w:val="en-US" w:eastAsia="zh-CN" w:bidi="ar-SA"/>
        </w:rPr>
      </w:pPr>
      <w:r>
        <w:rPr>
          <w:rFonts w:hint="eastAsia" w:ascii="Times New Roman" w:hAnsi="Times New Roman" w:cs="Times New Roman"/>
          <w:color w:val="000000"/>
          <w:kern w:val="2"/>
          <w:sz w:val="32"/>
          <w:szCs w:val="32"/>
          <w:highlight w:val="none"/>
          <w:lang w:val="en-US" w:eastAsia="zh-CN" w:bidi="ar-SA"/>
        </w:rPr>
        <w:t>1、产出指标：认真筹备并举行区政协五届六次全会和换届选举工作；组织开展“打造内陆开放新高地，把开福建成长沙向北发展、融入长江经济带的桥头堡”专题协商；组织开展5个主席会议视察活动；选取5件委员提案作为重点提案进行督办；完成《开福老街》（暂定）一书的编印；继续推进民主监督员工作；继续完善“委员工作室”各项活动有序开展；继续组织、参加各项体育比赛</w:t>
      </w:r>
    </w:p>
    <w:p>
      <w:pPr>
        <w:pStyle w:val="4"/>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560" w:lineRule="exact"/>
        <w:ind w:firstLine="640" w:firstLineChars="200"/>
        <w:textAlignment w:val="auto"/>
        <w:rPr>
          <w:rFonts w:hint="default" w:ascii="Times New Roman" w:hAnsi="Times New Roman" w:cs="Times New Roman"/>
          <w:color w:val="000000"/>
          <w:kern w:val="2"/>
          <w:sz w:val="32"/>
          <w:szCs w:val="32"/>
          <w:highlight w:val="none"/>
          <w:lang w:val="en-US" w:eastAsia="zh-CN" w:bidi="ar-SA"/>
        </w:rPr>
      </w:pPr>
      <w:r>
        <w:rPr>
          <w:rFonts w:hint="eastAsia" w:ascii="Times New Roman" w:hAnsi="Times New Roman" w:cs="Times New Roman"/>
          <w:color w:val="000000"/>
          <w:kern w:val="2"/>
          <w:sz w:val="32"/>
          <w:szCs w:val="32"/>
          <w:highlight w:val="none"/>
          <w:lang w:val="en-US" w:eastAsia="zh-CN" w:bidi="ar-SA"/>
        </w:rPr>
        <w:t>2、</w:t>
      </w:r>
      <w:r>
        <w:rPr>
          <w:rFonts w:hint="default" w:ascii="Times New Roman" w:hAnsi="Times New Roman" w:cs="Times New Roman"/>
          <w:color w:val="000000"/>
          <w:kern w:val="2"/>
          <w:sz w:val="32"/>
          <w:szCs w:val="32"/>
          <w:highlight w:val="none"/>
          <w:lang w:val="en-US" w:eastAsia="zh-CN" w:bidi="ar-SA"/>
        </w:rPr>
        <w:t>效益指标</w:t>
      </w:r>
      <w:r>
        <w:rPr>
          <w:rFonts w:hint="eastAsia" w:ascii="Times New Roman" w:hAnsi="Times New Roman" w:cs="Times New Roman"/>
          <w:color w:val="000000"/>
          <w:kern w:val="2"/>
          <w:sz w:val="32"/>
          <w:szCs w:val="32"/>
          <w:highlight w:val="none"/>
          <w:lang w:val="en-US" w:eastAsia="zh-CN" w:bidi="ar-SA"/>
        </w:rPr>
        <w:t>： 坚持新发展理念，把握正确的政治方向；提高政治站位，完成好换届选举工作；注重提质增效，助推开福高质量发展；坚守为民初心，践行人民政协为人民；抓好自身建设，夯实政协事业固根基。</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cs="仿宋"/>
          <w:sz w:val="32"/>
          <w:szCs w:val="32"/>
          <w:highlight w:val="none"/>
          <w:lang w:eastAsia="zh-CN" w:bidi="ar-SA"/>
        </w:rPr>
      </w:pPr>
      <w:r>
        <w:rPr>
          <w:rFonts w:hint="eastAsia" w:ascii="仿宋_GB2312" w:cs="仿宋"/>
          <w:sz w:val="32"/>
          <w:szCs w:val="32"/>
          <w:highlight w:val="none"/>
          <w:lang w:eastAsia="zh-CN" w:bidi="ar-SA"/>
        </w:rPr>
        <w:t>（二）绩效目标完成情况</w:t>
      </w:r>
    </w:p>
    <w:p>
      <w:pPr>
        <w:keepNext w:val="0"/>
        <w:keepLines w:val="0"/>
        <w:pageBreakBefore w:val="0"/>
        <w:kinsoku/>
        <w:wordWrap/>
        <w:overflowPunct/>
        <w:topLinePunct w:val="0"/>
        <w:bidi w:val="0"/>
        <w:spacing w:line="560" w:lineRule="exact"/>
        <w:ind w:left="-140" w:leftChars="-50" w:right="-140" w:rightChars="-50" w:firstLine="640" w:firstLineChars="200"/>
        <w:rPr>
          <w:rFonts w:ascii="Times New Roman" w:hAnsi="Times New Roman" w:eastAsia="仿宋_GB2312"/>
          <w:sz w:val="32"/>
          <w:szCs w:val="32"/>
        </w:rPr>
      </w:pPr>
      <w:r>
        <w:rPr>
          <w:rFonts w:hint="eastAsia" w:ascii="Times New Roman" w:hAnsi="Times New Roman" w:eastAsia="仿宋_GB2312"/>
          <w:sz w:val="32"/>
          <w:szCs w:val="32"/>
        </w:rPr>
        <w:t>2021年，在市政协和开福区委的深切关怀和坚强领导下，开福区政协自觉以习近平新时代中国特色社会主义思想为引领，</w:t>
      </w:r>
      <w:r>
        <w:rPr>
          <w:rFonts w:hint="eastAsia" w:ascii="Times New Roman" w:hAnsi="仿宋_GB2312" w:eastAsia="仿宋_GB2312" w:cs="仿宋_GB2312"/>
          <w:sz w:val="32"/>
          <w:szCs w:val="32"/>
        </w:rPr>
        <w:t>坚持做到“维护核心、服务中心、情系民心、凝聚人心”，汇聚起推动新时代政协事业发展的强大力量。</w:t>
      </w:r>
    </w:p>
    <w:p>
      <w:pPr>
        <w:keepNext w:val="0"/>
        <w:keepLines w:val="0"/>
        <w:pageBreakBefore w:val="0"/>
        <w:kinsoku/>
        <w:wordWrap/>
        <w:overflowPunct/>
        <w:topLinePunct w:val="0"/>
        <w:bidi w:val="0"/>
        <w:spacing w:line="560" w:lineRule="exact"/>
        <w:ind w:left="-140" w:leftChars="-50" w:right="-140" w:rightChars="-50"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一是维护核心，坚定党的领导把航向。</w:t>
      </w:r>
      <w:r>
        <w:rPr>
          <w:rFonts w:hint="eastAsia" w:ascii="Times New Roman" w:hAnsi="Times New Roman" w:eastAsia="仿宋_GB2312" w:cs="仿宋_GB2312"/>
          <w:sz w:val="32"/>
          <w:szCs w:val="32"/>
        </w:rPr>
        <w:t>区政协始终</w:t>
      </w:r>
      <w:r>
        <w:rPr>
          <w:rFonts w:hint="eastAsia" w:ascii="Times New Roman" w:hAnsi="Times New Roman" w:eastAsia="仿宋_GB2312"/>
          <w:sz w:val="32"/>
          <w:szCs w:val="32"/>
        </w:rPr>
        <w:t>站稳政治立场，把准政治方向，提升政治站位，确保政协工作沿着正确的政治方向前进</w:t>
      </w:r>
      <w:r>
        <w:rPr>
          <w:rFonts w:hint="eastAsia" w:ascii="Times New Roman" w:hAnsi="Times New Roman" w:eastAsia="仿宋_GB2312" w:cs="仿宋_GB2312"/>
          <w:sz w:val="32"/>
          <w:szCs w:val="32"/>
        </w:rPr>
        <w:t>。邀请区委主要领导调研政协工作，明确履职方向；《年度工作要点》以区委名义下文；</w:t>
      </w:r>
      <w:r>
        <w:rPr>
          <w:rFonts w:hint="eastAsia" w:ascii="Times New Roman" w:hAnsi="Times New Roman" w:eastAsia="仿宋_GB2312"/>
          <w:sz w:val="32"/>
          <w:szCs w:val="32"/>
        </w:rPr>
        <w:t>组织刘少奇故居重温入党誓词、船山学社品味初心使命、珠海横琴体会改革伟业等教育活动30余场次，补足“精神之钙”，把牢思想和行动的“总开关”。10月份换届后，新一届领导班子带领全体党员干部，首站赴长沙党史馆开展“红船启航”红色教育，以体验式、沉浸式党史教育拉开六届政协序幕。</w:t>
      </w:r>
    </w:p>
    <w:p>
      <w:pPr>
        <w:keepNext w:val="0"/>
        <w:keepLines w:val="0"/>
        <w:pageBreakBefore w:val="0"/>
        <w:kinsoku/>
        <w:wordWrap/>
        <w:overflowPunct/>
        <w:topLinePunct w:val="0"/>
        <w:bidi w:val="0"/>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二是服务中心，积极咨政建言促发展。</w:t>
      </w:r>
      <w:r>
        <w:rPr>
          <w:rFonts w:hint="eastAsia" w:ascii="Times New Roman" w:hAnsi="Times New Roman" w:eastAsia="仿宋_GB2312"/>
          <w:sz w:val="32"/>
          <w:szCs w:val="32"/>
        </w:rPr>
        <w:t>组织开展“打造长株潭都市圈融入一带一路和长江经济带的战略支点”专题协商</w:t>
      </w:r>
      <w:r>
        <w:rPr>
          <w:rFonts w:ascii="Times New Roman" w:hAnsi="Times New Roman" w:eastAsia="仿宋_GB2312"/>
          <w:sz w:val="32"/>
          <w:szCs w:val="32"/>
        </w:rPr>
        <w:t>1</w:t>
      </w:r>
      <w:r>
        <w:rPr>
          <w:rFonts w:hint="eastAsia" w:ascii="Times New Roman" w:hAnsi="Times New Roman" w:eastAsia="仿宋_GB2312"/>
          <w:sz w:val="32"/>
          <w:szCs w:val="32"/>
        </w:rPr>
        <w:t>次，“小微水体管护”“农安小区提质改造”等主席会议视察5次，向区委、政府提出有分量的意见建议</w:t>
      </w:r>
      <w:r>
        <w:rPr>
          <w:rFonts w:ascii="Times New Roman" w:hAnsi="Times New Roman" w:eastAsia="仿宋_GB2312"/>
          <w:sz w:val="32"/>
          <w:szCs w:val="32"/>
        </w:rPr>
        <w:t>66</w:t>
      </w:r>
      <w:r>
        <w:rPr>
          <w:rFonts w:hint="eastAsia" w:ascii="Times New Roman" w:hAnsi="Times New Roman" w:eastAsia="仿宋_GB2312"/>
          <w:sz w:val="32"/>
          <w:szCs w:val="32"/>
        </w:rPr>
        <w:t>条。特别是专题协商在市政协领导的带领下，赴合肥、郑州、济南等地考察调研，为调研报告形成指明了方向、提供了遵循，其调研报告荣获省政协优秀调研报告一等奖。全年共收到委员撰写的社情民意信息</w:t>
      </w:r>
      <w:r>
        <w:rPr>
          <w:rFonts w:ascii="Times New Roman" w:hAnsi="Times New Roman" w:eastAsia="仿宋_GB2312"/>
          <w:sz w:val="32"/>
          <w:szCs w:val="32"/>
        </w:rPr>
        <w:t>146</w:t>
      </w:r>
      <w:r>
        <w:rPr>
          <w:rFonts w:hint="eastAsia" w:ascii="Times New Roman" w:hAnsi="Times New Roman" w:eastAsia="仿宋_GB2312"/>
          <w:sz w:val="32"/>
          <w:szCs w:val="32"/>
        </w:rPr>
        <w:t>篇，微建议1</w:t>
      </w:r>
      <w:r>
        <w:rPr>
          <w:rFonts w:ascii="Times New Roman" w:hAnsi="Times New Roman" w:eastAsia="仿宋_GB2312"/>
          <w:sz w:val="32"/>
          <w:szCs w:val="32"/>
        </w:rPr>
        <w:t>39</w:t>
      </w:r>
      <w:r>
        <w:rPr>
          <w:rFonts w:hint="eastAsia" w:ascii="Times New Roman" w:hAnsi="Times New Roman" w:eastAsia="仿宋_GB2312"/>
          <w:sz w:val="32"/>
          <w:szCs w:val="32"/>
        </w:rPr>
        <w:t>条，</w:t>
      </w:r>
      <w:r>
        <w:rPr>
          <w:rFonts w:hint="eastAsia" w:ascii="Times New Roman" w:hAnsi="仿宋_GB2312" w:eastAsia="仿宋_GB2312" w:cs="仿宋_GB2312"/>
          <w:color w:val="000000"/>
          <w:sz w:val="32"/>
          <w:szCs w:val="32"/>
          <w:lang w:val="zh-TW"/>
        </w:rPr>
        <w:t>采用数居全市前列；</w:t>
      </w:r>
      <w:r>
        <w:rPr>
          <w:rFonts w:hint="eastAsia" w:ascii="Times New Roman" w:hAnsi="Times New Roman" w:eastAsia="仿宋_GB2312"/>
          <w:sz w:val="32"/>
          <w:szCs w:val="32"/>
        </w:rPr>
        <w:t>收到委员提案1</w:t>
      </w:r>
      <w:r>
        <w:rPr>
          <w:rFonts w:ascii="Times New Roman" w:hAnsi="Times New Roman" w:eastAsia="仿宋_GB2312"/>
          <w:sz w:val="32"/>
          <w:szCs w:val="32"/>
        </w:rPr>
        <w:t>44</w:t>
      </w:r>
      <w:r>
        <w:rPr>
          <w:rFonts w:hint="eastAsia" w:ascii="Times New Roman" w:hAnsi="Times New Roman" w:eastAsia="仿宋_GB2312"/>
          <w:sz w:val="32"/>
          <w:szCs w:val="32"/>
        </w:rPr>
        <w:t>件，立案</w:t>
      </w:r>
      <w:r>
        <w:rPr>
          <w:rFonts w:ascii="Times New Roman" w:hAnsi="Times New Roman" w:eastAsia="仿宋_GB2312"/>
          <w:sz w:val="32"/>
          <w:szCs w:val="32"/>
        </w:rPr>
        <w:t>42</w:t>
      </w:r>
      <w:r>
        <w:rPr>
          <w:rFonts w:hint="eastAsia" w:ascii="Times New Roman" w:hAnsi="Times New Roman" w:eastAsia="仿宋_GB2312"/>
          <w:sz w:val="32"/>
          <w:szCs w:val="32"/>
        </w:rPr>
        <w:t>件，</w:t>
      </w:r>
      <w:r>
        <w:rPr>
          <w:rFonts w:hint="eastAsia" w:ascii="Times New Roman" w:hAnsi="仿宋_GB2312" w:eastAsia="仿宋_GB2312" w:cs="仿宋_GB2312"/>
          <w:color w:val="000000"/>
          <w:sz w:val="32"/>
          <w:szCs w:val="32"/>
        </w:rPr>
        <w:t>其中</w:t>
      </w:r>
      <w:r>
        <w:rPr>
          <w:rFonts w:ascii="Times New Roman" w:hAnsi="Times New Roman" w:eastAsia="仿宋_GB2312" w:cs="仿宋_GB2312"/>
          <w:color w:val="000000"/>
          <w:sz w:val="32"/>
          <w:szCs w:val="32"/>
        </w:rPr>
        <w:t>33</w:t>
      </w:r>
      <w:r>
        <w:rPr>
          <w:rFonts w:hint="eastAsia" w:ascii="Times New Roman" w:hAnsi="仿宋_GB2312" w:eastAsia="仿宋_GB2312" w:cs="仿宋_GB2312"/>
          <w:color w:val="000000"/>
          <w:sz w:val="32"/>
          <w:szCs w:val="32"/>
        </w:rPr>
        <w:t>件办理为</w:t>
      </w:r>
      <w:r>
        <w:rPr>
          <w:rFonts w:hint="eastAsia" w:ascii="Times New Roman" w:hAnsi="Times New Roman" w:eastAsia="仿宋_GB2312" w:cs="仿宋_GB2312"/>
          <w:color w:val="000000"/>
          <w:sz w:val="32"/>
          <w:szCs w:val="32"/>
        </w:rPr>
        <w:t>A</w:t>
      </w:r>
      <w:r>
        <w:rPr>
          <w:rFonts w:hint="eastAsia" w:ascii="Times New Roman" w:hAnsi="仿宋_GB2312" w:eastAsia="仿宋_GB2312" w:cs="仿宋_GB2312"/>
          <w:color w:val="000000"/>
          <w:sz w:val="32"/>
          <w:szCs w:val="32"/>
        </w:rPr>
        <w:t>案，</w:t>
      </w:r>
      <w:r>
        <w:rPr>
          <w:rFonts w:hint="eastAsia" w:ascii="Times New Roman" w:hAnsi="Times New Roman" w:eastAsia="仿宋_GB2312" w:cs="仿宋_GB2312"/>
          <w:color w:val="000000"/>
          <w:sz w:val="32"/>
          <w:szCs w:val="32"/>
        </w:rPr>
        <w:t>A</w:t>
      </w:r>
      <w:r>
        <w:rPr>
          <w:rFonts w:hint="eastAsia" w:ascii="Times New Roman" w:hAnsi="仿宋_GB2312" w:eastAsia="仿宋_GB2312" w:cs="仿宋_GB2312"/>
          <w:color w:val="000000"/>
          <w:sz w:val="32"/>
          <w:szCs w:val="32"/>
        </w:rPr>
        <w:t>案率</w:t>
      </w:r>
      <w:r>
        <w:rPr>
          <w:rFonts w:hint="eastAsia" w:ascii="Times New Roman" w:hAnsi="Times New Roman" w:eastAsia="仿宋_GB2312" w:cs="仿宋_GB2312"/>
          <w:color w:val="000000"/>
          <w:sz w:val="32"/>
          <w:szCs w:val="32"/>
        </w:rPr>
        <w:t>7</w:t>
      </w:r>
      <w:r>
        <w:rPr>
          <w:rFonts w:ascii="Times New Roman" w:hAnsi="Times New Roman" w:eastAsia="仿宋_GB2312" w:cs="仿宋_GB2312"/>
          <w:color w:val="000000"/>
          <w:sz w:val="32"/>
          <w:szCs w:val="32"/>
        </w:rPr>
        <w:t>8</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6</w:t>
      </w:r>
      <w:r>
        <w:rPr>
          <w:rFonts w:hint="eastAsia" w:ascii="Times New Roman" w:hAnsi="Times New Roman" w:eastAsia="仿宋_GB2312" w:cs="仿宋_GB2312"/>
          <w:color w:val="000000"/>
          <w:sz w:val="32"/>
          <w:szCs w:val="32"/>
        </w:rPr>
        <w:t>%</w:t>
      </w:r>
      <w:r>
        <w:rPr>
          <w:rFonts w:hint="eastAsia" w:ascii="Times New Roman" w:hAnsi="仿宋_GB2312" w:eastAsia="仿宋_GB2312" w:cs="仿宋_GB2312"/>
          <w:color w:val="000000"/>
          <w:sz w:val="32"/>
          <w:szCs w:val="32"/>
        </w:rPr>
        <w:t>，为历年来最高。</w:t>
      </w:r>
    </w:p>
    <w:p>
      <w:pPr>
        <w:keepNext w:val="0"/>
        <w:keepLines w:val="0"/>
        <w:pageBreakBefore w:val="0"/>
        <w:kinsoku/>
        <w:wordWrap/>
        <w:overflowPunct/>
        <w:topLinePunct w:val="0"/>
        <w:bidi w:val="0"/>
        <w:spacing w:line="560"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三是情系民心，书写民生答卷守初心。</w:t>
      </w:r>
      <w:r>
        <w:rPr>
          <w:rFonts w:hint="eastAsia" w:ascii="Times New Roman" w:hAnsi="Times New Roman" w:eastAsia="仿宋_GB2312"/>
          <w:bCs/>
          <w:sz w:val="32"/>
          <w:szCs w:val="32"/>
        </w:rPr>
        <w:t>依托委员工作室，通过线上线下委员值班，架起委员服务群众的“连心桥”。全年，共有</w:t>
      </w:r>
      <w:r>
        <w:rPr>
          <w:rFonts w:ascii="Times New Roman" w:hAnsi="Times New Roman" w:eastAsia="仿宋_GB2312"/>
          <w:bCs/>
          <w:sz w:val="32"/>
          <w:szCs w:val="32"/>
        </w:rPr>
        <w:t>215</w:t>
      </w:r>
      <w:r>
        <w:rPr>
          <w:rFonts w:hint="eastAsia" w:ascii="Times New Roman" w:hAnsi="Times New Roman" w:eastAsia="仿宋_GB2312"/>
          <w:bCs/>
          <w:sz w:val="32"/>
          <w:szCs w:val="32"/>
        </w:rPr>
        <w:t>名委员到街道和社区进行值班走访，收集民生问题700余条，推动解决了一批基层群众关注重大问题和民生诉求；聚焦民生热点，在全区1</w:t>
      </w:r>
      <w:r>
        <w:rPr>
          <w:rFonts w:ascii="Times New Roman" w:hAnsi="Times New Roman" w:eastAsia="仿宋_GB2312"/>
          <w:bCs/>
          <w:sz w:val="32"/>
          <w:szCs w:val="32"/>
        </w:rPr>
        <w:t>6</w:t>
      </w:r>
      <w:r>
        <w:rPr>
          <w:rFonts w:hint="eastAsia" w:ascii="Times New Roman" w:hAnsi="Times New Roman" w:eastAsia="仿宋_GB2312"/>
          <w:bCs/>
          <w:sz w:val="32"/>
          <w:szCs w:val="32"/>
        </w:rPr>
        <w:t>个街道开展基层协商，协商解决群众“急难愁盼”民生问题</w:t>
      </w:r>
      <w:r>
        <w:rPr>
          <w:rFonts w:ascii="Times New Roman" w:hAnsi="Times New Roman" w:eastAsia="仿宋_GB2312"/>
          <w:bCs/>
          <w:sz w:val="32"/>
          <w:szCs w:val="32"/>
        </w:rPr>
        <w:t>32</w:t>
      </w:r>
      <w:r>
        <w:rPr>
          <w:rFonts w:hint="eastAsia" w:ascii="Times New Roman" w:hAnsi="Times New Roman" w:eastAsia="仿宋_GB2312"/>
          <w:bCs/>
          <w:sz w:val="32"/>
          <w:szCs w:val="32"/>
        </w:rPr>
        <w:t>个；</w:t>
      </w:r>
      <w:r>
        <w:rPr>
          <w:rFonts w:hint="eastAsia" w:ascii="Times New Roman" w:hAnsi="Times New Roman" w:eastAsia="仿宋_GB2312"/>
          <w:sz w:val="32"/>
          <w:szCs w:val="32"/>
        </w:rPr>
        <w:t>组织开展“关爱地贫儿童”“送医药下乡”“抗疫大礼包”等履职活动300余场次，深受群众喜爱。3月，沙坪社区委员工作室作为全省唯一社区代表在全省政协委员工作室建设推进会上作经验交流，其“三诊”工作法上报全国政协，并迎接了全国政协视察</w:t>
      </w:r>
      <w:r>
        <w:rPr>
          <w:rFonts w:hint="eastAsia" w:ascii="Times New Roman" w:hAnsi="Times New Roman" w:eastAsia="仿宋_GB2312"/>
          <w:bCs/>
          <w:sz w:val="32"/>
          <w:szCs w:val="32"/>
        </w:rPr>
        <w:t>调研。</w:t>
      </w:r>
    </w:p>
    <w:p>
      <w:pPr>
        <w:keepNext w:val="0"/>
        <w:keepLines w:val="0"/>
        <w:pageBreakBefore w:val="0"/>
        <w:kinsoku/>
        <w:wordWrap/>
        <w:overflowPunct/>
        <w:topLinePunct w:val="0"/>
        <w:bidi w:val="0"/>
        <w:spacing w:line="560" w:lineRule="exact"/>
        <w:ind w:firstLine="643" w:firstLineChars="200"/>
        <w:rPr>
          <w:rFonts w:hint="eastAsia"/>
        </w:rPr>
      </w:pPr>
      <w:r>
        <w:rPr>
          <w:rFonts w:hint="eastAsia" w:ascii="Times New Roman" w:hAnsi="Times New Roman" w:eastAsia="楷体_GB2312"/>
          <w:b/>
          <w:sz w:val="32"/>
          <w:szCs w:val="32"/>
        </w:rPr>
        <w:t>四是凝聚人心，画大内外团结同心圆。</w:t>
      </w:r>
      <w:r>
        <w:rPr>
          <w:rFonts w:hint="eastAsia" w:ascii="Times New Roman" w:hAnsi="Times New Roman" w:eastAsia="仿宋_GB2312" w:cs="Times New Roman"/>
          <w:sz w:val="32"/>
          <w:szCs w:val="32"/>
        </w:rPr>
        <w:t>切实加强与各民主党派、工商联、知联会及其他社会团体的沟通交流，凝聚共识，将扩大团结联谊与助力发展有机结合起来，</w:t>
      </w:r>
      <w:r>
        <w:rPr>
          <w:rFonts w:hint="eastAsia" w:ascii="Times New Roman" w:hAnsi="Times New Roman" w:eastAsia="仿宋_GB2312"/>
          <w:bCs/>
          <w:sz w:val="32"/>
          <w:szCs w:val="32"/>
        </w:rPr>
        <w:t>发挥党外人士“智囊团”“人才库”的优势，</w:t>
      </w:r>
      <w:r>
        <w:rPr>
          <w:rFonts w:hint="eastAsia" w:ascii="Times New Roman" w:hAnsi="Times New Roman" w:eastAsia="仿宋_GB2312" w:cs="Times New Roman"/>
          <w:sz w:val="32"/>
          <w:szCs w:val="32"/>
        </w:rPr>
        <w:t>把人脉资源转化为发展优势，形成大联合调研、大联合攻关的合力，共同破解区域发展难题；始终</w:t>
      </w:r>
      <w:r>
        <w:rPr>
          <w:rFonts w:hint="eastAsia" w:ascii="Times New Roman" w:hAnsi="Times New Roman" w:eastAsia="仿宋_GB2312" w:cs="仿宋_GB2312"/>
          <w:spacing w:val="-4"/>
          <w:sz w:val="32"/>
          <w:szCs w:val="32"/>
        </w:rPr>
        <w:t>保持政协机关“严细深实快”的工作作风，更好更优服务委员履职，推动政协工作全面提速提质提效；定期开展篮球赛、游泳比赛等形式多样的委员活动，充分展示政协人蓬勃向上的精神风貌，营造政协事业发展的良好氛围。</w:t>
      </w:r>
    </w:p>
    <w:p>
      <w:pPr>
        <w:keepNext w:val="0"/>
        <w:keepLines w:val="0"/>
        <w:pageBreakBefore w:val="0"/>
        <w:widowControl/>
        <w:kinsoku/>
        <w:wordWrap/>
        <w:overflowPunct/>
        <w:topLinePunct w:val="0"/>
        <w:bidi w:val="0"/>
        <w:spacing w:line="560" w:lineRule="exact"/>
        <w:ind w:firstLine="645"/>
        <w:jc w:val="left"/>
        <w:rPr>
          <w:rFonts w:ascii="Times New Roman" w:hAnsi="Times New Roman" w:eastAsia="黑体" w:cs="Times New Roman"/>
          <w:sz w:val="32"/>
          <w:szCs w:val="32"/>
          <w:highlight w:val="none"/>
          <w:lang w:bidi="ar-SA"/>
        </w:rPr>
      </w:pPr>
      <w:r>
        <w:rPr>
          <w:rFonts w:hint="eastAsia" w:ascii="Times New Roman" w:hAnsi="Times New Roman" w:eastAsia="黑体" w:cs="Times New Roman"/>
          <w:color w:val="000000"/>
          <w:sz w:val="32"/>
          <w:szCs w:val="32"/>
          <w:highlight w:val="none"/>
          <w:lang w:eastAsia="zh-CN" w:bidi="ar-SA"/>
        </w:rPr>
        <w:t>四</w:t>
      </w:r>
      <w:r>
        <w:rPr>
          <w:rFonts w:ascii="Times New Roman" w:hAnsi="Times New Roman" w:eastAsia="黑体" w:cs="Times New Roman"/>
          <w:color w:val="000000"/>
          <w:sz w:val="32"/>
          <w:szCs w:val="32"/>
          <w:highlight w:val="none"/>
          <w:lang w:bidi="ar-SA"/>
        </w:rPr>
        <w:t>、</w:t>
      </w:r>
      <w:r>
        <w:rPr>
          <w:rFonts w:ascii="Times New Roman" w:hAnsi="Times New Roman" w:eastAsia="黑体" w:cs="Times New Roman"/>
          <w:sz w:val="32"/>
          <w:szCs w:val="32"/>
          <w:highlight w:val="none"/>
          <w:lang w:bidi="ar-SA"/>
        </w:rPr>
        <w:t>存在的主要问题及下一步改进措施</w:t>
      </w:r>
    </w:p>
    <w:p>
      <w:pPr>
        <w:keepNext w:val="0"/>
        <w:keepLines w:val="0"/>
        <w:pageBreakBefore w:val="0"/>
        <w:widowControl/>
        <w:kinsoku/>
        <w:wordWrap/>
        <w:overflowPunct/>
        <w:topLinePunct w:val="0"/>
        <w:bidi w:val="0"/>
        <w:spacing w:line="560" w:lineRule="exact"/>
        <w:ind w:firstLine="640" w:firstLineChars="200"/>
        <w:jc w:val="left"/>
        <w:rPr>
          <w:rFonts w:ascii="Times New Roman" w:hAnsi="Times New Roman" w:eastAsia="仿宋_GB2312" w:cs="Times New Roman"/>
          <w:sz w:val="32"/>
          <w:szCs w:val="32"/>
          <w:highlight w:val="none"/>
          <w:lang w:bidi="ar-SA"/>
        </w:rPr>
      </w:pPr>
      <w:r>
        <w:rPr>
          <w:rFonts w:hint="eastAsia" w:ascii="Times New Roman" w:hAnsi="Times New Roman" w:eastAsia="仿宋_GB2312" w:cs="Times New Roman"/>
          <w:sz w:val="32"/>
          <w:szCs w:val="32"/>
          <w:highlight w:val="none"/>
          <w:lang w:bidi="ar-SA"/>
        </w:rPr>
        <w:t>本年支出增加20.46%，主要为会议费相关支出增加。 项目支出增加44.61%，主要为会议费相关支出增加。年末结转和结余减少100%，主要为财政收回结转结余资金。“三公”经费支出增加76.31%，主要为各单位来我区学习考察增加，公务接待增加。培训费增加141.5%，主要为培训增加，培训费支出增加。</w:t>
      </w:r>
    </w:p>
    <w:p>
      <w:pPr>
        <w:keepNext w:val="0"/>
        <w:keepLines w:val="0"/>
        <w:pageBreakBefore w:val="0"/>
        <w:widowControl/>
        <w:numPr>
          <w:ilvl w:val="0"/>
          <w:numId w:val="4"/>
        </w:numPr>
        <w:kinsoku/>
        <w:wordWrap/>
        <w:overflowPunct/>
        <w:topLinePunct w:val="0"/>
        <w:bidi w:val="0"/>
        <w:spacing w:line="560" w:lineRule="exact"/>
        <w:ind w:firstLine="645"/>
        <w:jc w:val="left"/>
        <w:rPr>
          <w:rFonts w:ascii="Times New Roman" w:hAnsi="Times New Roman" w:eastAsia="黑体" w:cs="Times New Roman"/>
          <w:sz w:val="32"/>
          <w:szCs w:val="32"/>
          <w:highlight w:val="none"/>
          <w:lang w:bidi="ar-SA"/>
        </w:rPr>
      </w:pPr>
      <w:r>
        <w:rPr>
          <w:rFonts w:ascii="Times New Roman" w:hAnsi="Times New Roman" w:eastAsia="黑体" w:cs="Times New Roman"/>
          <w:sz w:val="32"/>
          <w:szCs w:val="32"/>
          <w:highlight w:val="none"/>
          <w:lang w:bidi="ar-SA"/>
        </w:rPr>
        <w:t>绩效自评结果拟应用和公开情况</w:t>
      </w:r>
    </w:p>
    <w:p>
      <w:pPr>
        <w:pStyle w:val="2"/>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640" w:firstLineChars="200"/>
        <w:jc w:val="left"/>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1、我单位根据专项绩效评定指标对各项目量化评价，自评指标得分</w:t>
      </w:r>
      <w:r>
        <w:rPr>
          <w:rFonts w:hint="eastAsia" w:cs="Times New Roman"/>
          <w:kern w:val="2"/>
          <w:sz w:val="32"/>
          <w:szCs w:val="32"/>
          <w:highlight w:val="none"/>
          <w:lang w:val="en-US" w:eastAsia="zh-CN" w:bidi="ar-SA"/>
        </w:rPr>
        <w:t>100</w:t>
      </w:r>
      <w:r>
        <w:rPr>
          <w:rFonts w:hint="eastAsia" w:ascii="Times New Roman" w:hAnsi="Times New Roman" w:eastAsia="仿宋_GB2312" w:cs="Times New Roman"/>
          <w:kern w:val="2"/>
          <w:sz w:val="32"/>
          <w:szCs w:val="32"/>
          <w:highlight w:val="none"/>
          <w:lang w:val="en-US" w:eastAsia="zh-CN" w:bidi="ar-SA"/>
        </w:rPr>
        <w:t>分。</w:t>
      </w:r>
    </w:p>
    <w:p>
      <w:pPr>
        <w:pStyle w:val="2"/>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640" w:firstLineChars="200"/>
        <w:jc w:val="left"/>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2、将项目支出后的实际状况与项目申报的绩效目标进行对比分析。按项目实际支出和项目申报绩效目标进行对比分析自评得分100分，所有项目均与批复下达相符。</w:t>
      </w:r>
    </w:p>
    <w:p>
      <w:pPr>
        <w:keepNext w:val="0"/>
        <w:keepLines w:val="0"/>
        <w:pageBreakBefore w:val="0"/>
        <w:widowControl/>
        <w:kinsoku/>
        <w:wordWrap/>
        <w:overflowPunct/>
        <w:topLinePunct w:val="0"/>
        <w:bidi w:val="0"/>
        <w:spacing w:line="560" w:lineRule="exact"/>
        <w:ind w:firstLine="645"/>
        <w:jc w:val="left"/>
        <w:rPr>
          <w:rFonts w:ascii="Times New Roman" w:hAnsi="Times New Roman" w:eastAsia="黑体" w:cs="Times New Roman"/>
          <w:sz w:val="32"/>
          <w:szCs w:val="32"/>
          <w:highlight w:val="none"/>
          <w:lang w:bidi="ar-SA"/>
        </w:rPr>
      </w:pPr>
      <w:r>
        <w:rPr>
          <w:rFonts w:hint="eastAsia" w:ascii="Times New Roman" w:hAnsi="Times New Roman" w:eastAsia="黑体" w:cs="Times New Roman"/>
          <w:sz w:val="32"/>
          <w:szCs w:val="32"/>
          <w:highlight w:val="none"/>
          <w:lang w:eastAsia="zh-CN" w:bidi="ar-SA"/>
        </w:rPr>
        <w:t>六</w:t>
      </w:r>
      <w:r>
        <w:rPr>
          <w:rFonts w:ascii="Times New Roman" w:hAnsi="Times New Roman" w:eastAsia="黑体" w:cs="Times New Roman"/>
          <w:sz w:val="32"/>
          <w:szCs w:val="32"/>
          <w:highlight w:val="none"/>
          <w:lang w:bidi="ar-SA"/>
        </w:rPr>
        <w:t>、其他需要说明的情况</w:t>
      </w:r>
    </w:p>
    <w:p>
      <w:pPr>
        <w:pStyle w:val="2"/>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firstLine="640" w:firstLineChars="200"/>
        <w:jc w:val="left"/>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进一步健全和完善财务管理制度及内部控制制度，创新管理手段，用新思路、新方法，改进完善财务管理方法，用制度管项目，用制度管资金，杜绝一切腐败现象。</w:t>
      </w:r>
    </w:p>
    <w:p>
      <w:pPr>
        <w:keepNext w:val="0"/>
        <w:keepLines w:val="0"/>
        <w:pageBreakBefore w:val="0"/>
        <w:widowControl/>
        <w:kinsoku/>
        <w:wordWrap/>
        <w:overflowPunct/>
        <w:topLinePunct w:val="0"/>
        <w:bidi w:val="0"/>
        <w:spacing w:line="560" w:lineRule="exact"/>
        <w:ind w:firstLine="645"/>
        <w:jc w:val="left"/>
        <w:rPr>
          <w:rFonts w:ascii="Times New Roman" w:hAnsi="Times New Roman" w:eastAsia="仿宋_GB2312" w:cs="Times New Roman"/>
          <w:sz w:val="32"/>
          <w:szCs w:val="32"/>
          <w:highlight w:val="none"/>
          <w:lang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611779-94D7-450E-A854-27D29368996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2AD4D40-ED75-45DE-A4E9-2B653C314752}"/>
  </w:font>
  <w:font w:name="仿宋_GB2312">
    <w:altName w:val="仿宋"/>
    <w:panose1 w:val="02010609030101010101"/>
    <w:charset w:val="86"/>
    <w:family w:val="modern"/>
    <w:pitch w:val="default"/>
    <w:sig w:usb0="00000000" w:usb1="00000000" w:usb2="00000000" w:usb3="00000000" w:csb0="00040000" w:csb1="00000000"/>
    <w:embedRegular r:id="rId3" w:fontKey="{61866CF1-9BAB-4D0F-A2A5-0C82BDAEC927}"/>
  </w:font>
  <w:font w:name="仿宋">
    <w:panose1 w:val="02010609060101010101"/>
    <w:charset w:val="86"/>
    <w:family w:val="auto"/>
    <w:pitch w:val="default"/>
    <w:sig w:usb0="800002BF" w:usb1="38CF7CFA" w:usb2="00000016" w:usb3="00000000" w:csb0="00040001" w:csb1="00000000"/>
    <w:embedRegular r:id="rId4" w:fontKey="{6DB56095-A93B-4332-A6FF-E5F8CD4EB985}"/>
  </w:font>
  <w:font w:name="方正小标宋_GBK">
    <w:panose1 w:val="02000000000000000000"/>
    <w:charset w:val="86"/>
    <w:family w:val="auto"/>
    <w:pitch w:val="default"/>
    <w:sig w:usb0="A00002BF" w:usb1="38CF7CFA" w:usb2="00082016" w:usb3="00000000" w:csb0="00040001" w:csb1="00000000"/>
    <w:embedRegular r:id="rId5" w:fontKey="{FA0EFD97-2286-4142-9F4F-112E091D8EDA}"/>
  </w:font>
  <w:font w:name="楷体_GB2312">
    <w:altName w:val="楷体"/>
    <w:panose1 w:val="02010609030101010101"/>
    <w:charset w:val="86"/>
    <w:family w:val="modern"/>
    <w:pitch w:val="default"/>
    <w:sig w:usb0="00000000" w:usb1="00000000" w:usb2="00000010" w:usb3="00000000" w:csb0="00040000" w:csb1="00000000"/>
    <w:embedRegular r:id="rId6" w:fontKey="{1E6F5EE2-2AE3-4E05-B277-81A6341ABC4B}"/>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D8A87"/>
    <w:multiLevelType w:val="singleLevel"/>
    <w:tmpl w:val="255D8A87"/>
    <w:lvl w:ilvl="0" w:tentative="0">
      <w:start w:val="1"/>
      <w:numFmt w:val="chineseCounting"/>
      <w:suff w:val="nothing"/>
      <w:lvlText w:val="（%1）"/>
      <w:lvlJc w:val="left"/>
      <w:rPr>
        <w:rFonts w:hint="eastAsia"/>
      </w:rPr>
    </w:lvl>
  </w:abstractNum>
  <w:abstractNum w:abstractNumId="1">
    <w:nsid w:val="318206AD"/>
    <w:multiLevelType w:val="multilevel"/>
    <w:tmpl w:val="318206AD"/>
    <w:lvl w:ilvl="0" w:tentative="0">
      <w:start w:val="1"/>
      <w:numFmt w:val="japaneseCounting"/>
      <w:lvlText w:val="%1、"/>
      <w:lvlJc w:val="left"/>
      <w:pPr>
        <w:tabs>
          <w:tab w:val="left" w:pos="0"/>
        </w:tabs>
        <w:ind w:left="1360" w:hanging="720"/>
      </w:pPr>
      <w:rPr>
        <w:rFonts w:hint="default"/>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2">
    <w:nsid w:val="72ABB4BC"/>
    <w:multiLevelType w:val="singleLevel"/>
    <w:tmpl w:val="72ABB4BC"/>
    <w:lvl w:ilvl="0" w:tentative="0">
      <w:start w:val="5"/>
      <w:numFmt w:val="chineseCounting"/>
      <w:suff w:val="nothing"/>
      <w:lvlText w:val="%1、"/>
      <w:lvlJc w:val="left"/>
      <w:rPr>
        <w:rFonts w:hint="eastAsia"/>
      </w:rPr>
    </w:lvl>
  </w:abstractNum>
  <w:abstractNum w:abstractNumId="3">
    <w:nsid w:val="79AC1E24"/>
    <w:multiLevelType w:val="multilevel"/>
    <w:tmpl w:val="79AC1E24"/>
    <w:lvl w:ilvl="0" w:tentative="0">
      <w:start w:val="1"/>
      <w:numFmt w:val="japaneseCounting"/>
      <w:lvlText w:val="（%1）"/>
      <w:lvlJc w:val="left"/>
      <w:pPr>
        <w:tabs>
          <w:tab w:val="left" w:pos="0"/>
        </w:tabs>
        <w:ind w:left="1720" w:hanging="1080"/>
      </w:pPr>
      <w:rPr>
        <w:rFonts w:hint="default"/>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jMWNiOTU2ZmM5YWJhMmViZjM2YWY1OWQ1MmJhNTIifQ=="/>
  </w:docVars>
  <w:rsids>
    <w:rsidRoot w:val="5BED3D5B"/>
    <w:rsid w:val="070E6C24"/>
    <w:rsid w:val="5BED3D5B"/>
    <w:rsid w:val="6C870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28"/>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autoSpaceDE w:val="0"/>
      <w:autoSpaceDN w:val="0"/>
      <w:adjustRightInd w:val="0"/>
      <w:ind w:firstLine="420"/>
      <w:jc w:val="left"/>
    </w:pPr>
    <w:rPr>
      <w:kern w:val="0"/>
    </w:rPr>
  </w:style>
  <w:style w:type="paragraph" w:styleId="3">
    <w:name w:val="Body Text"/>
    <w:basedOn w:val="1"/>
    <w:next w:val="4"/>
    <w:qFormat/>
    <w:uiPriority w:val="0"/>
    <w:pPr>
      <w:widowControl/>
      <w:spacing w:before="100" w:beforeAutospacing="1" w:after="100" w:afterAutospacing="1"/>
      <w:jc w:val="left"/>
    </w:pPr>
    <w:rPr>
      <w:rFonts w:ascii="宋体" w:hAnsi="宋体" w:cs="宋体"/>
      <w:kern w:val="0"/>
      <w:sz w:val="24"/>
    </w:rPr>
  </w:style>
  <w:style w:type="paragraph" w:styleId="4">
    <w:name w:val="Body Text First Indent"/>
    <w:basedOn w:val="3"/>
    <w:qFormat/>
    <w:uiPriority w:val="0"/>
    <w:pPr>
      <w:ind w:firstLine="420" w:firstLineChars="1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2862</Words>
  <Characters>2997</Characters>
  <Lines>0</Lines>
  <Paragraphs>0</Paragraphs>
  <TotalTime>6</TotalTime>
  <ScaleCrop>false</ScaleCrop>
  <LinksUpToDate>false</LinksUpToDate>
  <CharactersWithSpaces>3000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2022-09-19T02:44:00Z</dcterms:created>
  <dc:creator>Vi_she</dc:creator>
  <cp:lastModifiedBy>Vi_she</cp:lastModifiedBy>
  <dcterms:modified xsi:type="dcterms:W3CDTF">2022-09-26T01:35:42Z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330409BD748D430ABD845B2F9CA60656</vt:lpwstr>
  </property>
</Properties>
</file>