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B7" w:rsidRPr="001511B7" w:rsidRDefault="001511B7" w:rsidP="001511B7">
      <w:pPr>
        <w:pStyle w:val="a3"/>
        <w:spacing w:after="0" w:afterAutospacing="0" w:line="480" w:lineRule="atLeast"/>
        <w:ind w:firstLine="480"/>
        <w:jc w:val="center"/>
        <w:rPr>
          <w:rFonts w:ascii="黑体" w:eastAsia="黑体" w:hAnsi="黑体" w:cs="Arial"/>
          <w:color w:val="000000"/>
          <w:sz w:val="44"/>
          <w:szCs w:val="44"/>
        </w:rPr>
      </w:pPr>
      <w:r>
        <w:rPr>
          <w:rFonts w:ascii="Arial" w:hAnsi="Arial" w:cs="Arial"/>
          <w:color w:val="000000"/>
        </w:rPr>
        <w:t>​</w:t>
      </w:r>
      <w:r w:rsidRPr="001511B7">
        <w:rPr>
          <w:rFonts w:ascii="黑体" w:eastAsia="黑体" w:hAnsi="黑体" w:cs="Arial"/>
          <w:color w:val="000000"/>
          <w:sz w:val="44"/>
          <w:szCs w:val="44"/>
        </w:rPr>
        <w:t>2018年度中共长沙市开福区委员会</w:t>
      </w:r>
      <w:r>
        <w:rPr>
          <w:rFonts w:ascii="黑体" w:eastAsia="黑体" w:hAnsi="黑体" w:cs="Arial" w:hint="eastAsia"/>
          <w:color w:val="000000"/>
          <w:sz w:val="44"/>
          <w:szCs w:val="44"/>
        </w:rPr>
        <w:t xml:space="preserve">    </w:t>
      </w:r>
      <w:r w:rsidRPr="001511B7">
        <w:rPr>
          <w:rFonts w:ascii="黑体" w:eastAsia="黑体" w:hAnsi="黑体" w:cs="Arial"/>
          <w:color w:val="000000"/>
          <w:sz w:val="44"/>
          <w:szCs w:val="44"/>
        </w:rPr>
        <w:t>政法委员会部门整体支出绩效评价报告</w:t>
      </w:r>
    </w:p>
    <w:p w:rsid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p>
    <w:p w:rsidR="001511B7" w:rsidRPr="001511B7" w:rsidRDefault="001511B7" w:rsidP="001511B7">
      <w:pPr>
        <w:pStyle w:val="a3"/>
        <w:spacing w:before="0" w:beforeAutospacing="0" w:after="0" w:afterAutospacing="0" w:line="560" w:lineRule="exact"/>
        <w:ind w:firstLineChars="200" w:firstLine="600"/>
        <w:rPr>
          <w:rFonts w:ascii="黑体" w:eastAsia="黑体" w:hAnsi="黑体" w:cs="Arial"/>
          <w:color w:val="000000"/>
          <w:sz w:val="30"/>
          <w:szCs w:val="30"/>
        </w:rPr>
      </w:pPr>
      <w:r w:rsidRPr="001511B7">
        <w:rPr>
          <w:rFonts w:ascii="黑体" w:eastAsia="黑体" w:hAnsi="黑体" w:cs="Arial"/>
          <w:color w:val="000000"/>
          <w:sz w:val="30"/>
          <w:szCs w:val="30"/>
        </w:rPr>
        <w:t>一、部门整体支出概况</w:t>
      </w:r>
    </w:p>
    <w:p w:rsidR="001511B7" w:rsidRPr="001511B7" w:rsidRDefault="001511B7" w:rsidP="001511B7">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1511B7">
        <w:rPr>
          <w:rFonts w:ascii="仿宋" w:eastAsia="仿宋" w:hAnsi="仿宋" w:cs="Arial"/>
          <w:b/>
          <w:color w:val="000000"/>
          <w:sz w:val="30"/>
          <w:szCs w:val="30"/>
        </w:rPr>
        <w:t>1、部门</w:t>
      </w:r>
      <w:r w:rsidRPr="001511B7">
        <w:rPr>
          <w:rFonts w:ascii="仿宋" w:eastAsia="仿宋" w:hAnsi="仿宋" w:cs="Arial" w:hint="eastAsia"/>
          <w:b/>
          <w:color w:val="000000"/>
          <w:sz w:val="30"/>
          <w:szCs w:val="30"/>
        </w:rPr>
        <w:t>职能</w:t>
      </w:r>
      <w:r w:rsidRPr="001511B7">
        <w:rPr>
          <w:rFonts w:ascii="仿宋" w:eastAsia="仿宋" w:hAnsi="仿宋" w:cs="Arial"/>
          <w:b/>
          <w:color w:val="000000"/>
          <w:sz w:val="30"/>
          <w:szCs w:val="30"/>
        </w:rPr>
        <w:t>职责</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（一）深入贯彻习近平新时代中国特色社会主义思想，深入贯彻党的路线方针政策和决策部署，统一全区政法各部门思想和行动，坚持党对政法工作的绝对领导，坚决维护党中央权威和集中统一领导。</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二）深入贯彻党中央、省委、市委和区委决定，对政法工作研究提出全局性部署，推进平安开福、法治开福建设，加强过硬队伍建设，深化智能化建设，坚决维护国家政治安全、确保社会大局稳定、促进社会公平正义、保障人民安居乐业。</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（三）了解掌握和分析研判政法工作情况动态，分析社会稳定形势，创新完善多部门参与的综治维稳工作机制，协调推动预防、化解影响稳定的社会矛盾和风险，协调应对和处置重大突发事件。</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（四）加强对政法工作的督查，统筹协调社会治安综合治理、维护社会稳定、反邪教有关法律法规政策的实施工作。</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（五）组织开展政法领域的调查研究，研究拟订政法工作的重要措施，及时向区委提出建议。</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（六）掌握分析政法與情动态，指导协调政法部门媒体网络宣传工作，指导政法部门做好涉及政法工作的重大宣传工作。</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lastRenderedPageBreak/>
        <w:t>（七）监督和支持政法各部门依法行使职权，指导和协调政法各部门密切配合，研究和协调重大、疑难案件，推进严格执法、公正司法。</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（八）组织研究政法改革中带有方向性、倾向性和普遍性的重大问题，深化政法改革。</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（九）指导推动政法系统党的建设和政法队伍建设，代管区法学会。</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（十）完成区委交办的其他任务。</w:t>
      </w:r>
    </w:p>
    <w:p w:rsidR="001511B7" w:rsidRPr="001511B7" w:rsidRDefault="001511B7" w:rsidP="001511B7">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1511B7">
        <w:rPr>
          <w:rFonts w:ascii="仿宋" w:eastAsia="仿宋" w:hAnsi="仿宋" w:cs="Arial"/>
          <w:b/>
          <w:color w:val="000000"/>
          <w:sz w:val="30"/>
          <w:szCs w:val="30"/>
        </w:rPr>
        <w:t>2、机构设置</w:t>
      </w:r>
    </w:p>
    <w:p w:rsid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本部门由1个行政单位组成，是区委工作机关，为正科级，作为区委领导政法工作的职能部门，设内设机构：维稳办和综治办。</w:t>
      </w:r>
    </w:p>
    <w:p w:rsidR="001511B7" w:rsidRPr="001511B7" w:rsidRDefault="001511B7" w:rsidP="001511B7">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1511B7">
        <w:rPr>
          <w:rFonts w:ascii="仿宋" w:eastAsia="仿宋" w:hAnsi="仿宋" w:cs="Arial" w:hint="eastAsia"/>
          <w:b/>
          <w:color w:val="000000"/>
          <w:sz w:val="30"/>
          <w:szCs w:val="30"/>
        </w:rPr>
        <w:t>3、</w:t>
      </w:r>
      <w:r w:rsidRPr="001511B7">
        <w:rPr>
          <w:rFonts w:ascii="仿宋" w:eastAsia="仿宋" w:hAnsi="仿宋" w:cs="Arial"/>
          <w:b/>
          <w:color w:val="000000"/>
          <w:sz w:val="30"/>
          <w:szCs w:val="30"/>
        </w:rPr>
        <w:t>人员情况</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本部门行政编制12名，工勤编制1名。年末实有在职人数14人，其中：在岗人数14人；编外长期聘用人员1人；离退休人数0人，其中离休人员0人，退休人员0人。</w:t>
      </w:r>
    </w:p>
    <w:p w:rsidR="001511B7" w:rsidRPr="001511B7" w:rsidRDefault="001511B7" w:rsidP="001511B7">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1511B7">
        <w:rPr>
          <w:rFonts w:ascii="仿宋" w:eastAsia="仿宋" w:hAnsi="仿宋" w:cs="Arial"/>
          <w:b/>
          <w:color w:val="000000"/>
          <w:sz w:val="30"/>
          <w:szCs w:val="30"/>
        </w:rPr>
        <w:t>二、</w:t>
      </w:r>
      <w:r w:rsidRPr="001511B7">
        <w:rPr>
          <w:rFonts w:ascii="仿宋" w:eastAsia="仿宋" w:hAnsi="仿宋" w:cs="Arial" w:hint="eastAsia"/>
          <w:b/>
          <w:color w:val="000000"/>
          <w:sz w:val="30"/>
          <w:szCs w:val="30"/>
        </w:rPr>
        <w:t>部门整体支出使用及管理情况</w:t>
      </w:r>
    </w:p>
    <w:p w:rsidR="00355AD1" w:rsidRDefault="001511B7" w:rsidP="00604D75">
      <w:pPr>
        <w:ind w:firstLineChars="200" w:firstLine="600"/>
        <w:rPr>
          <w:rFonts w:ascii="仿宋" w:eastAsia="仿宋" w:hAnsi="仿宋" w:cs="Arial" w:hint="eastAsia"/>
          <w:color w:val="000000"/>
          <w:kern w:val="0"/>
          <w:sz w:val="30"/>
          <w:szCs w:val="30"/>
        </w:rPr>
      </w:pPr>
      <w:r w:rsidRPr="001511B7">
        <w:rPr>
          <w:rFonts w:ascii="仿宋" w:eastAsia="仿宋" w:hAnsi="仿宋" w:cs="Arial" w:hint="eastAsia"/>
          <w:color w:val="000000"/>
          <w:kern w:val="0"/>
          <w:sz w:val="30"/>
          <w:szCs w:val="30"/>
        </w:rPr>
        <w:t>本</w:t>
      </w:r>
      <w:r w:rsidR="00604D75">
        <w:rPr>
          <w:rFonts w:ascii="仿宋" w:eastAsia="仿宋" w:hAnsi="仿宋" w:cs="Arial" w:hint="eastAsia"/>
          <w:color w:val="000000"/>
          <w:kern w:val="0"/>
          <w:sz w:val="30"/>
          <w:szCs w:val="30"/>
        </w:rPr>
        <w:t>部门</w:t>
      </w:r>
      <w:r w:rsidRPr="001511B7">
        <w:rPr>
          <w:rFonts w:ascii="仿宋" w:eastAsia="仿宋" w:hAnsi="仿宋" w:cs="Arial" w:hint="eastAsia"/>
          <w:color w:val="000000"/>
          <w:kern w:val="0"/>
          <w:sz w:val="30"/>
          <w:szCs w:val="30"/>
        </w:rPr>
        <w:t>整体支出</w:t>
      </w:r>
      <w:r w:rsidR="00604D75">
        <w:rPr>
          <w:rFonts w:ascii="仿宋" w:eastAsia="仿宋" w:hAnsi="仿宋" w:cs="Arial" w:hint="eastAsia"/>
          <w:color w:val="000000"/>
          <w:kern w:val="0"/>
          <w:sz w:val="30"/>
          <w:szCs w:val="30"/>
        </w:rPr>
        <w:t>为</w:t>
      </w:r>
      <w:r w:rsidR="00604D75" w:rsidRPr="001511B7">
        <w:rPr>
          <w:rFonts w:ascii="仿宋" w:eastAsia="仿宋" w:hAnsi="仿宋" w:cs="Arial"/>
          <w:color w:val="000000"/>
          <w:sz w:val="30"/>
          <w:szCs w:val="30"/>
        </w:rPr>
        <w:t>7064.02</w:t>
      </w:r>
      <w:r w:rsidR="00604D75">
        <w:rPr>
          <w:rFonts w:ascii="仿宋" w:eastAsia="仿宋" w:hAnsi="仿宋" w:cs="Arial" w:hint="eastAsia"/>
          <w:color w:val="000000"/>
          <w:kern w:val="0"/>
          <w:sz w:val="30"/>
          <w:szCs w:val="30"/>
        </w:rPr>
        <w:t>万元，分为为基本支出和项目支出两部分。</w:t>
      </w:r>
    </w:p>
    <w:p w:rsidR="001511B7" w:rsidRPr="00604D75" w:rsidRDefault="001511B7" w:rsidP="00604D75">
      <w:pPr>
        <w:ind w:firstLineChars="200" w:firstLine="600"/>
        <w:rPr>
          <w:rFonts w:ascii="仿宋" w:eastAsia="仿宋" w:hAnsi="仿宋" w:cs="Arial"/>
          <w:color w:val="000000"/>
          <w:kern w:val="0"/>
          <w:sz w:val="30"/>
          <w:szCs w:val="30"/>
        </w:rPr>
      </w:pPr>
      <w:r w:rsidRPr="001511B7">
        <w:rPr>
          <w:rFonts w:ascii="仿宋" w:eastAsia="仿宋" w:hAnsi="仿宋" w:cs="Arial" w:hint="eastAsia"/>
          <w:color w:val="000000"/>
          <w:kern w:val="0"/>
          <w:sz w:val="30"/>
          <w:szCs w:val="30"/>
        </w:rPr>
        <w:t>基本支出总额为：</w:t>
      </w:r>
      <w:r w:rsidR="00604D75" w:rsidRPr="00604D75">
        <w:rPr>
          <w:rFonts w:ascii="仿宋" w:eastAsia="仿宋" w:hAnsi="仿宋" w:cs="Arial"/>
          <w:color w:val="000000"/>
          <w:kern w:val="0"/>
          <w:sz w:val="30"/>
          <w:szCs w:val="30"/>
        </w:rPr>
        <w:t>482.49</w:t>
      </w:r>
      <w:r w:rsidR="00604D75">
        <w:rPr>
          <w:rFonts w:ascii="仿宋" w:eastAsia="仿宋" w:hAnsi="仿宋" w:cs="Arial" w:hint="eastAsia"/>
          <w:color w:val="000000"/>
          <w:kern w:val="0"/>
          <w:sz w:val="30"/>
          <w:szCs w:val="30"/>
        </w:rPr>
        <w:t>万</w:t>
      </w:r>
      <w:r w:rsidRPr="001511B7">
        <w:rPr>
          <w:rFonts w:ascii="仿宋" w:eastAsia="仿宋" w:hAnsi="仿宋" w:cs="Arial" w:hint="eastAsia"/>
          <w:color w:val="000000"/>
          <w:kern w:val="0"/>
          <w:sz w:val="30"/>
          <w:szCs w:val="30"/>
        </w:rPr>
        <w:t>元，</w:t>
      </w:r>
      <w:r w:rsidR="00604D75" w:rsidRPr="00604D75">
        <w:rPr>
          <w:rFonts w:ascii="仿宋" w:eastAsia="仿宋" w:hAnsi="仿宋" w:cs="Arial"/>
          <w:color w:val="000000"/>
          <w:kern w:val="0"/>
          <w:sz w:val="30"/>
          <w:szCs w:val="30"/>
        </w:rPr>
        <w:t>其中人员经费支出427.32万元，占基本支出的88.57%，主要包括基本工资、津贴补贴、奖金、社会保障缴费、绩效工资、其他工资福利支出、医疗费、奖励金、住房公积金、其他对个人和家庭的补助支出；公用经费支出55.17万元，占基本支出的11.43%，主要包括：办公费、</w:t>
      </w:r>
      <w:r w:rsidR="00604D75" w:rsidRPr="00604D75">
        <w:rPr>
          <w:rFonts w:ascii="仿宋" w:eastAsia="仿宋" w:hAnsi="仿宋" w:cs="Arial"/>
          <w:color w:val="000000"/>
          <w:kern w:val="0"/>
          <w:sz w:val="30"/>
          <w:szCs w:val="30"/>
        </w:rPr>
        <w:lastRenderedPageBreak/>
        <w:t>邮电费、差旅费、培训费、公务接待费、劳务费、工会经费、其他商品和服务支出、办公设备购置费。</w:t>
      </w:r>
    </w:p>
    <w:p w:rsidR="001511B7" w:rsidRPr="001511B7" w:rsidRDefault="00355AD1" w:rsidP="001511B7">
      <w:pPr>
        <w:pStyle w:val="a3"/>
        <w:shd w:val="clear" w:color="auto" w:fill="FFFFFF"/>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项目支出</w:t>
      </w:r>
      <w:r>
        <w:rPr>
          <w:rFonts w:ascii="仿宋" w:eastAsia="仿宋" w:hAnsi="仿宋" w:cs="Arial" w:hint="eastAsia"/>
          <w:color w:val="000000"/>
          <w:sz w:val="30"/>
          <w:szCs w:val="30"/>
        </w:rPr>
        <w:t>总额为：</w:t>
      </w:r>
      <w:r w:rsidRPr="001511B7">
        <w:rPr>
          <w:rFonts w:ascii="仿宋" w:eastAsia="仿宋" w:hAnsi="仿宋" w:cs="Arial"/>
          <w:color w:val="000000"/>
          <w:sz w:val="30"/>
          <w:szCs w:val="30"/>
        </w:rPr>
        <w:t>6581.53万元</w:t>
      </w:r>
      <w:r>
        <w:rPr>
          <w:rFonts w:ascii="仿宋" w:eastAsia="仿宋" w:hAnsi="仿宋" w:cs="Arial" w:hint="eastAsia"/>
          <w:color w:val="000000"/>
          <w:sz w:val="30"/>
          <w:szCs w:val="30"/>
        </w:rPr>
        <w:t>。</w:t>
      </w:r>
      <w:r w:rsidR="001511B7" w:rsidRPr="001511B7">
        <w:rPr>
          <w:rFonts w:ascii="仿宋" w:eastAsia="仿宋" w:hAnsi="仿宋" w:cs="Arial"/>
          <w:color w:val="000000"/>
          <w:sz w:val="30"/>
          <w:szCs w:val="30"/>
        </w:rPr>
        <w:t>我部门项目资金分为三大部分：一是公安经费，由开福公安分局开支使用，主要用于禁毒、国保、专案、派出所考核奖励、治安辅警工作经费以及电子监控中心临聘人员工资及保险等；二是其他政法各家专项经费，如交警、巡警、城管公安、遗留办、国安等政法部门，用于各部门的日常开支；三是本部门专项经费，用于本部门各项政法综治维稳工作各项措施的落实和推进。</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使用管理方面，各项经费均由用款单位建立财务票据，由财务经办人、证明人、分管财务领导或单位负责人签字以后报送至我部门，经过我部门正常财务签字流程后统一报送至区财政局支付大厅列支使用。待相关款项转账或使用完毕后，票据由我部门登记入账，留存待查。</w:t>
      </w:r>
    </w:p>
    <w:p w:rsidR="001511B7" w:rsidRPr="001511B7" w:rsidRDefault="001511B7" w:rsidP="001511B7">
      <w:pPr>
        <w:pStyle w:val="a3"/>
        <w:shd w:val="clear" w:color="auto" w:fill="FFFFFF"/>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使用过程中，我部门严格执行国家财经法律法规和内部财务财产管理制度，控制和规范管理经费支出，增强经费预算刚性，提高资金使用效益。</w:t>
      </w:r>
    </w:p>
    <w:p w:rsidR="001511B7" w:rsidRPr="00477DF0" w:rsidRDefault="001511B7" w:rsidP="00477DF0">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477DF0">
        <w:rPr>
          <w:rFonts w:ascii="仿宋" w:eastAsia="仿宋" w:hAnsi="仿宋" w:cs="Arial"/>
          <w:b/>
          <w:color w:val="000000"/>
          <w:sz w:val="30"/>
          <w:szCs w:val="30"/>
        </w:rPr>
        <w:t>三、</w:t>
      </w:r>
      <w:r w:rsidR="00477DF0" w:rsidRPr="00477DF0">
        <w:rPr>
          <w:rFonts w:ascii="仿宋" w:eastAsia="仿宋" w:hAnsi="仿宋" w:cs="Arial" w:hint="eastAsia"/>
          <w:b/>
          <w:color w:val="000000"/>
          <w:sz w:val="30"/>
          <w:szCs w:val="30"/>
        </w:rPr>
        <w:t>部门整体支出</w:t>
      </w:r>
      <w:r w:rsidRPr="00477DF0">
        <w:rPr>
          <w:rFonts w:ascii="仿宋" w:eastAsia="仿宋" w:hAnsi="仿宋" w:cs="Arial"/>
          <w:b/>
          <w:color w:val="000000"/>
          <w:sz w:val="30"/>
          <w:szCs w:val="30"/>
        </w:rPr>
        <w:t>组织实施情况</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2018</w:t>
      </w:r>
      <w:r w:rsidR="00604D75">
        <w:rPr>
          <w:rFonts w:ascii="仿宋" w:eastAsia="仿宋" w:hAnsi="仿宋" w:cs="Arial"/>
          <w:color w:val="000000"/>
          <w:sz w:val="30"/>
          <w:szCs w:val="30"/>
        </w:rPr>
        <w:t>年我</w:t>
      </w:r>
      <w:r w:rsidR="00604D75">
        <w:rPr>
          <w:rFonts w:ascii="仿宋" w:eastAsia="仿宋" w:hAnsi="仿宋" w:cs="Arial" w:hint="eastAsia"/>
          <w:color w:val="000000"/>
          <w:sz w:val="30"/>
          <w:szCs w:val="30"/>
        </w:rPr>
        <w:t>部门</w:t>
      </w:r>
      <w:r w:rsidRPr="001511B7">
        <w:rPr>
          <w:rFonts w:ascii="仿宋" w:eastAsia="仿宋" w:hAnsi="仿宋" w:cs="Arial"/>
          <w:color w:val="000000"/>
          <w:sz w:val="30"/>
          <w:szCs w:val="30"/>
        </w:rPr>
        <w:t>整体支出绩效涉及金额7064.02万元，其中：基本支出482.49万元，占6.8%；项目支出6581.53万元，占93.2%。项目支出包括公共项目以及事务性专项共12个，具体如下：</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1、区公安分局基本支出保障经费，主要用于维护公安分局在职人员（710名，按2万/人予以保障）日常运营开支。</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lastRenderedPageBreak/>
        <w:t>2、区公安分局辅警（390名）人员经费，直接上缴市级财政。</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3、区公安分局天网建设费用，直接上缴市级财政。</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4、区公安分局财保中心及食堂维修项目经费。</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5、区公安分局三大中心建设经费。</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6、区公安分局智慧安保工程建设经费。</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7、公安特勤队工作经费，用于应急处突公安特勤队（50人）人员工资保险及运行费用。</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8、交警大队工作经费，用于维护交警大队日常运行以及文明劝导员、辅警等人员工资保险。</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9、禁毒专项工作经费，用于社区戒毒康复、禁毒办及禁毒协会工作开展。</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10、综治维稳工作经费，主要用于综治基层基础工作以及维稳工作的开展全面落实综治工作的各项措施，提升社会治安防控和管理能力；排查隐患，应急处突及化解区域范围内的不稳定事件，确保全区大局稳定。</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11、反扒、国安、经侦、遗留办工作经费，用于反扒大队、经侦支队、遗留办以及国安办日常开支以及常规性工作铺排。</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12、全区巡防队员等公益性岗位人员工资及社保经费，分为政法委本级和直接划拨街道使用两部分。</w:t>
      </w:r>
    </w:p>
    <w:p w:rsidR="001511B7" w:rsidRPr="001511B7" w:rsidRDefault="001511B7" w:rsidP="001511B7">
      <w:pPr>
        <w:pStyle w:val="a3"/>
        <w:shd w:val="clear" w:color="auto" w:fill="FFFFFF"/>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以上12个项目资金的实施情况如下：</w:t>
      </w:r>
    </w:p>
    <w:p w:rsidR="001511B7" w:rsidRPr="001511B7" w:rsidRDefault="001511B7" w:rsidP="001511B7">
      <w:pPr>
        <w:pStyle w:val="a3"/>
        <w:shd w:val="clear" w:color="auto" w:fill="FFFFFF"/>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区公安分局基本支出保障</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1420万元，</w:t>
      </w:r>
      <w:r w:rsidR="00477DF0">
        <w:rPr>
          <w:rFonts w:ascii="仿宋" w:eastAsia="仿宋" w:hAnsi="仿宋" w:cs="Arial" w:hint="eastAsia"/>
          <w:color w:val="000000"/>
          <w:sz w:val="30"/>
          <w:szCs w:val="30"/>
        </w:rPr>
        <w:t>支出</w:t>
      </w:r>
      <w:r w:rsidRPr="001511B7">
        <w:rPr>
          <w:rFonts w:ascii="仿宋" w:eastAsia="仿宋" w:hAnsi="仿宋" w:cs="Arial"/>
          <w:color w:val="000000"/>
          <w:sz w:val="30"/>
          <w:szCs w:val="30"/>
        </w:rPr>
        <w:t>1298.33万元；公安分局辅警人员经费（上缴市财政）</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2340万元，</w:t>
      </w:r>
      <w:r w:rsidR="00477DF0">
        <w:rPr>
          <w:rFonts w:ascii="仿宋" w:eastAsia="仿宋" w:hAnsi="仿宋" w:cs="Arial" w:hint="eastAsia"/>
          <w:color w:val="000000"/>
          <w:sz w:val="30"/>
          <w:szCs w:val="30"/>
        </w:rPr>
        <w:t>支出</w:t>
      </w:r>
      <w:r w:rsidRPr="001511B7">
        <w:rPr>
          <w:rFonts w:ascii="仿宋" w:eastAsia="仿宋" w:hAnsi="仿宋" w:cs="Arial"/>
          <w:color w:val="000000"/>
          <w:sz w:val="30"/>
          <w:szCs w:val="30"/>
        </w:rPr>
        <w:t>2340万元；天网建设费用（上缴市财政）</w:t>
      </w:r>
      <w:r w:rsidR="00477DF0">
        <w:rPr>
          <w:rFonts w:ascii="仿宋" w:eastAsia="仿宋" w:hAnsi="仿宋" w:cs="Arial" w:hint="eastAsia"/>
          <w:color w:val="000000"/>
          <w:sz w:val="30"/>
          <w:szCs w:val="30"/>
        </w:rPr>
        <w:t>年</w:t>
      </w:r>
      <w:r w:rsidR="00477DF0">
        <w:rPr>
          <w:rFonts w:ascii="仿宋" w:eastAsia="仿宋" w:hAnsi="仿宋" w:cs="Arial" w:hint="eastAsia"/>
          <w:color w:val="000000"/>
          <w:sz w:val="30"/>
          <w:szCs w:val="30"/>
        </w:rPr>
        <w:lastRenderedPageBreak/>
        <w:t>初预算数</w:t>
      </w:r>
      <w:r w:rsidRPr="001511B7">
        <w:rPr>
          <w:rFonts w:ascii="仿宋" w:eastAsia="仿宋" w:hAnsi="仿宋" w:cs="Arial"/>
          <w:color w:val="000000"/>
          <w:sz w:val="30"/>
          <w:szCs w:val="30"/>
        </w:rPr>
        <w:t>940.17万元，上缴940.17万元；公安分局财保中心及食堂维修</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110.7万元，支出110.7万元；公安分局三大中心建设</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162.2万元，支出157.75万元；公安分局智慧安保工程</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649万元，支出615.76万元；公安特勤工作经费</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562.62万元，支出498.65万元；交警大队工作经费</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1118.85万元，支出971.01万元；禁毒专项工作经费</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240万元，支出240万元；综治维稳工作经费</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455万元，支出455万元；反扒、国安、经侦和遗留办工作经费</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102万元，支出100.92万元；全区巡防队员等公益性岗位人员工资及社保经费</w:t>
      </w:r>
      <w:r w:rsidR="00477DF0">
        <w:rPr>
          <w:rFonts w:ascii="仿宋" w:eastAsia="仿宋" w:hAnsi="仿宋" w:cs="Arial" w:hint="eastAsia"/>
          <w:color w:val="000000"/>
          <w:sz w:val="30"/>
          <w:szCs w:val="30"/>
        </w:rPr>
        <w:t>年初预算数</w:t>
      </w:r>
      <w:r w:rsidRPr="001511B7">
        <w:rPr>
          <w:rFonts w:ascii="仿宋" w:eastAsia="仿宋" w:hAnsi="仿宋" w:cs="Arial"/>
          <w:color w:val="000000"/>
          <w:sz w:val="30"/>
          <w:szCs w:val="30"/>
        </w:rPr>
        <w:t>2402.3万元，由区财政直接划拨给街道2182.3万元，归区政法委本级支配使用的年初预算金额为220万元，支出220万元。全部实行项目支出绩效目标管理。</w:t>
      </w:r>
    </w:p>
    <w:p w:rsidR="001511B7" w:rsidRPr="00477DF0" w:rsidRDefault="001511B7" w:rsidP="00477DF0">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477DF0">
        <w:rPr>
          <w:rFonts w:ascii="仿宋" w:eastAsia="仿宋" w:hAnsi="仿宋" w:cs="Arial"/>
          <w:b/>
          <w:color w:val="000000"/>
          <w:sz w:val="30"/>
          <w:szCs w:val="30"/>
        </w:rPr>
        <w:t>四、</w:t>
      </w:r>
      <w:r w:rsidR="00477DF0" w:rsidRPr="00477DF0">
        <w:rPr>
          <w:rFonts w:ascii="仿宋" w:eastAsia="仿宋" w:hAnsi="仿宋" w:cs="Arial" w:hint="eastAsia"/>
          <w:b/>
          <w:color w:val="000000"/>
          <w:sz w:val="30"/>
          <w:szCs w:val="30"/>
        </w:rPr>
        <w:t>部门整体支出</w:t>
      </w:r>
      <w:r w:rsidRPr="00477DF0">
        <w:rPr>
          <w:rFonts w:ascii="仿宋" w:eastAsia="仿宋" w:hAnsi="仿宋" w:cs="Arial"/>
          <w:b/>
          <w:color w:val="000000"/>
          <w:sz w:val="30"/>
          <w:szCs w:val="30"/>
        </w:rPr>
        <w:t>绩效情况</w:t>
      </w:r>
    </w:p>
    <w:p w:rsidR="001511B7" w:rsidRPr="001511B7" w:rsidRDefault="001511B7" w:rsidP="001511B7">
      <w:pPr>
        <w:pStyle w:val="a3"/>
        <w:shd w:val="clear" w:color="auto" w:fill="FFFFFF"/>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2018年，全区政法工作在区委、区政府的坚强领导下，忠实履行维护社会大局稳定、推进社会治理创新、维护社会公平正义、服务经济社会发展“四大职责”，扎实推进司法体制改革、共建共治共享、智能化建设、基层基础工作“四大举措”，抓牢队伍建设这个根本，抓紧扫黑除恶这个关键，社会和谐度、司法公信力、群众获得感全面提升，开福区连续十四年保持全省“平安区县”荣誉称号。</w:t>
      </w:r>
    </w:p>
    <w:p w:rsidR="001511B7" w:rsidRPr="00477DF0" w:rsidRDefault="001511B7" w:rsidP="00477DF0">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477DF0">
        <w:rPr>
          <w:rFonts w:ascii="仿宋" w:eastAsia="仿宋" w:hAnsi="仿宋" w:cs="Arial"/>
          <w:b/>
          <w:color w:val="000000"/>
          <w:sz w:val="30"/>
          <w:szCs w:val="30"/>
        </w:rPr>
        <w:t>五、需要说明的问题</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总体而言各项工作取得了新的进展和成效，但是同时也存在一些问题和不足，主要体现在：</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lastRenderedPageBreak/>
        <w:t>1、在资金使用合规性方面，各项目之间的预算经费使用有所混用；各项目经费及机关运行经费中部分资金使用没有严格按照预算的经济分类科目执行。今后将提升预算预见性，并在日常工作中规范执行。</w:t>
      </w:r>
    </w:p>
    <w:p w:rsidR="001511B7" w:rsidRPr="001511B7" w:rsidRDefault="001511B7" w:rsidP="001511B7">
      <w:pPr>
        <w:pStyle w:val="a3"/>
        <w:spacing w:before="0" w:beforeAutospacing="0" w:after="0" w:afterAutospacing="0" w:line="560" w:lineRule="exact"/>
        <w:ind w:firstLineChars="200" w:firstLine="600"/>
        <w:rPr>
          <w:rFonts w:ascii="仿宋" w:eastAsia="仿宋" w:hAnsi="仿宋" w:cs="Arial"/>
          <w:color w:val="000000"/>
          <w:sz w:val="30"/>
          <w:szCs w:val="30"/>
        </w:rPr>
      </w:pPr>
      <w:r w:rsidRPr="001511B7">
        <w:rPr>
          <w:rFonts w:ascii="仿宋" w:eastAsia="仿宋" w:hAnsi="仿宋" w:cs="Arial"/>
          <w:color w:val="000000"/>
          <w:sz w:val="30"/>
          <w:szCs w:val="30"/>
        </w:rPr>
        <w:t>2、还需要进一步规范内部控制，加强廉政风险防控机制建设，对财务室工作职责、固定资产管理制度、财务人员岗位职责、单位收、支管理制度等方面进行更严格的内控管理，使内控制度贯穿单位经济活动的决策、执行和监督全过程。</w:t>
      </w:r>
    </w:p>
    <w:p w:rsidR="00D91B48" w:rsidRPr="001511B7" w:rsidRDefault="00D91B48" w:rsidP="001511B7">
      <w:pPr>
        <w:spacing w:line="560" w:lineRule="exact"/>
        <w:ind w:firstLineChars="200" w:firstLine="600"/>
        <w:rPr>
          <w:rFonts w:ascii="仿宋" w:eastAsia="仿宋" w:hAnsi="仿宋"/>
          <w:sz w:val="30"/>
          <w:szCs w:val="30"/>
        </w:rPr>
      </w:pPr>
    </w:p>
    <w:sectPr w:rsidR="00D91B48" w:rsidRPr="001511B7" w:rsidSect="00D91B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4E3" w:rsidRDefault="006B04E3" w:rsidP="00355AD1">
      <w:r>
        <w:separator/>
      </w:r>
    </w:p>
  </w:endnote>
  <w:endnote w:type="continuationSeparator" w:id="1">
    <w:p w:rsidR="006B04E3" w:rsidRDefault="006B04E3" w:rsidP="00355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4E3" w:rsidRDefault="006B04E3" w:rsidP="00355AD1">
      <w:r>
        <w:separator/>
      </w:r>
    </w:p>
  </w:footnote>
  <w:footnote w:type="continuationSeparator" w:id="1">
    <w:p w:rsidR="006B04E3" w:rsidRDefault="006B04E3" w:rsidP="00355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1B7"/>
    <w:rsid w:val="001511B7"/>
    <w:rsid w:val="00355AD1"/>
    <w:rsid w:val="00477DF0"/>
    <w:rsid w:val="00604D75"/>
    <w:rsid w:val="006B04E3"/>
    <w:rsid w:val="00AB060F"/>
    <w:rsid w:val="00D91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1B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55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55AD1"/>
    <w:rPr>
      <w:sz w:val="18"/>
      <w:szCs w:val="18"/>
    </w:rPr>
  </w:style>
  <w:style w:type="paragraph" w:styleId="a5">
    <w:name w:val="footer"/>
    <w:basedOn w:val="a"/>
    <w:link w:val="Char0"/>
    <w:uiPriority w:val="99"/>
    <w:semiHidden/>
    <w:unhideWhenUsed/>
    <w:rsid w:val="00355AD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55AD1"/>
    <w:rPr>
      <w:sz w:val="18"/>
      <w:szCs w:val="18"/>
    </w:rPr>
  </w:style>
</w:styles>
</file>

<file path=word/webSettings.xml><?xml version="1.0" encoding="utf-8"?>
<w:webSettings xmlns:r="http://schemas.openxmlformats.org/officeDocument/2006/relationships" xmlns:w="http://schemas.openxmlformats.org/wordprocessingml/2006/main">
  <w:divs>
    <w:div w:id="1262763018">
      <w:bodyDiv w:val="1"/>
      <w:marLeft w:val="0"/>
      <w:marRight w:val="0"/>
      <w:marTop w:val="0"/>
      <w:marBottom w:val="0"/>
      <w:divBdr>
        <w:top w:val="none" w:sz="0" w:space="0" w:color="auto"/>
        <w:left w:val="none" w:sz="0" w:space="0" w:color="auto"/>
        <w:bottom w:val="none" w:sz="0" w:space="0" w:color="auto"/>
        <w:right w:val="none" w:sz="0" w:space="0" w:color="auto"/>
      </w:divBdr>
    </w:div>
    <w:div w:id="14638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cp:revision>
  <dcterms:created xsi:type="dcterms:W3CDTF">2021-05-26T03:55:00Z</dcterms:created>
  <dcterms:modified xsi:type="dcterms:W3CDTF">2021-05-26T04:32:00Z</dcterms:modified>
</cp:coreProperties>
</file>