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r>
        <w:rPr>
          <w:rFonts w:hint="eastAsia" w:ascii="仿宋" w:hAnsi="仿宋" w:eastAsia="仿宋" w:cs="仿宋"/>
          <w:b/>
          <w:bCs/>
          <w:kern w:val="0"/>
          <w:sz w:val="48"/>
          <w:szCs w:val="48"/>
        </w:rPr>
        <w:t>2021年长沙市开福区信访局部门预算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EAEAE"/>
          <w:kern w:val="0"/>
          <w:szCs w:val="21"/>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480"/>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1、职能职责。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负责接待和处理到区委、区人民政府的群众来信来访，承办上级领导机关和区委、区人民政府领导转办、批办的信访事项；负责对区内重大信访问题的处理进行检查、督促和协调；了解信访动态，掌握社会动向，对信访中反映的倾向性问题及时报告区委、区政府，收集群众意见和建议，为领导决策当参谋和助手；指导基层的信访工作；承办区委和区政府交办的其他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2、机构设置。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由1个行政单位和1个二级机构组成，二级机构包括开福区群众信访接待中心。本部门编制数10人，在职人数8人，其中：在岗人数8人；编外长期聘用人员4人；离退休人数5人，其中离休人员0人，退休人员5人。本部门已纳入2021年部门预算的科室是综合办公室。已纳入2021年部门预算的二级机构为开福区群众信访接待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highlight w:val="yellow"/>
          <w:lang w:val="en-US" w:eastAsia="zh-CN"/>
        </w:rPr>
      </w:pPr>
      <w:r>
        <w:rPr>
          <w:rFonts w:hint="eastAsia" w:ascii="仿宋" w:hAnsi="仿宋" w:eastAsia="仿宋" w:cs="仿宋"/>
          <w:bCs/>
          <w:kern w:val="0"/>
          <w:sz w:val="32"/>
          <w:szCs w:val="32"/>
        </w:rPr>
        <w:t>纳入2021年部门预算编制范围的包括长沙市开福区信访局本级和1个二级机构，二级机构包括开福区群众信访接待中心</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highlight w:val="none"/>
          <w:lang w:eastAsia="zh-CN"/>
        </w:rPr>
        <w:t>本部门</w:t>
      </w:r>
      <w:r>
        <w:rPr>
          <w:rFonts w:hint="eastAsia" w:ascii="仿宋" w:hAnsi="仿宋" w:eastAsia="仿宋" w:cs="仿宋"/>
          <w:bCs/>
          <w:kern w:val="0"/>
          <w:sz w:val="32"/>
          <w:szCs w:val="32"/>
          <w:highlight w:val="none"/>
          <w:lang w:val="en-US" w:eastAsia="zh-CN"/>
        </w:rPr>
        <w:t>无内设机构。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部门预算包括本级预算和所属单位预算在内的汇总情况。收入只有一般公共预算收入，无政府性基金收入和国有资本经营预算收入，无事业单位经营服务等收入；支出既包括保障局机关及局属事业单位基本运行的经费，也包括区信访局归口管理的专项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kern w:val="0"/>
          <w:sz w:val="32"/>
          <w:szCs w:val="32"/>
        </w:rPr>
        <w:t>（一）收入预算：</w:t>
      </w:r>
      <w:r>
        <w:rPr>
          <w:rFonts w:hint="eastAsia" w:ascii="仿宋" w:hAnsi="仿宋" w:eastAsia="仿宋" w:cs="仿宋"/>
          <w:bCs/>
          <w:kern w:val="0"/>
          <w:sz w:val="32"/>
          <w:szCs w:val="32"/>
        </w:rPr>
        <w:t>2021年本部门收入预算数1131.26万元，其中，一般公共预算拨款1131.26万元，政府性基金预算拨款0万元，国有资本经营预算拨款0万元，纳入专户管理的非税收入0万元，收入较去年减少26.85万元，</w:t>
      </w:r>
      <w:r>
        <w:rPr>
          <w:rFonts w:hint="eastAsia" w:ascii="仿宋" w:hAnsi="仿宋" w:eastAsia="仿宋" w:cs="仿宋"/>
          <w:bCs/>
          <w:color w:val="auto"/>
          <w:kern w:val="0"/>
          <w:sz w:val="32"/>
          <w:szCs w:val="32"/>
          <w:highlight w:val="none"/>
        </w:rPr>
        <w:t>降低2.32%</w:t>
      </w:r>
      <w:r>
        <w:rPr>
          <w:rFonts w:hint="eastAsia" w:ascii="仿宋" w:hAnsi="仿宋" w:eastAsia="仿宋" w:cs="仿宋"/>
          <w:bCs/>
          <w:color w:val="auto"/>
          <w:kern w:val="0"/>
          <w:sz w:val="32"/>
          <w:szCs w:val="32"/>
        </w:rPr>
        <w:t>，主要是一般公共预算拨款减少了26.85万元。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（二）支出预算：</w:t>
      </w:r>
      <w:r>
        <w:rPr>
          <w:rFonts w:hint="eastAsia" w:ascii="仿宋" w:hAnsi="仿宋" w:eastAsia="仿宋" w:cs="仿宋"/>
          <w:bCs/>
          <w:color w:val="auto"/>
          <w:kern w:val="0"/>
          <w:sz w:val="32"/>
          <w:szCs w:val="32"/>
        </w:rPr>
        <w:t>2021年本部门支出预算数1131.26万元，其中，一般公共服务1067.21万元，社会保障和就业支出42.61万元，住房保障支出21.44万元。本年支出预算数比上年减少26.85万元，降低2.32%。支出减少的主要原因是：事务性业务专项支出安排减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2021年一般公共预算拨款收入1131.26万元，</w:t>
      </w:r>
      <w:r>
        <w:rPr>
          <w:rFonts w:hint="eastAsia" w:ascii="仿宋" w:hAnsi="仿宋" w:eastAsia="仿宋" w:cs="仿宋"/>
          <w:color w:val="auto"/>
          <w:sz w:val="32"/>
          <w:szCs w:val="32"/>
        </w:rPr>
        <w:t>其中，一般公共服务支出1067.21万元，占94.34 %；</w:t>
      </w:r>
      <w:r>
        <w:rPr>
          <w:rFonts w:hint="eastAsia" w:eastAsia="仿宋_GB2312"/>
          <w:color w:val="auto"/>
          <w:sz w:val="32"/>
          <w:szCs w:val="32"/>
        </w:rPr>
        <w:t>社会保障和就业</w:t>
      </w:r>
      <w:r>
        <w:rPr>
          <w:rFonts w:hint="eastAsia" w:ascii="仿宋" w:hAnsi="仿宋" w:eastAsia="仿宋" w:cs="仿宋"/>
          <w:color w:val="auto"/>
          <w:sz w:val="32"/>
          <w:szCs w:val="32"/>
        </w:rPr>
        <w:t>42.61万元</w:t>
      </w:r>
      <w:r>
        <w:rPr>
          <w:rFonts w:hint="eastAsia" w:eastAsia="仿宋_GB2312"/>
          <w:color w:val="auto"/>
          <w:sz w:val="32"/>
          <w:szCs w:val="32"/>
        </w:rPr>
        <w:t>，</w:t>
      </w:r>
      <w:r>
        <w:rPr>
          <w:rFonts w:eastAsia="仿宋_GB2312"/>
          <w:color w:val="auto"/>
          <w:sz w:val="32"/>
          <w:szCs w:val="32"/>
        </w:rPr>
        <w:t>占</w:t>
      </w:r>
      <w:r>
        <w:rPr>
          <w:rFonts w:hint="eastAsia" w:ascii="仿宋" w:hAnsi="仿宋" w:eastAsia="仿宋" w:cs="仿宋"/>
          <w:color w:val="auto"/>
          <w:sz w:val="32"/>
          <w:szCs w:val="32"/>
        </w:rPr>
        <w:t>3.77</w:t>
      </w:r>
      <w:r>
        <w:rPr>
          <w:rFonts w:hint="eastAsia" w:eastAsia="仿宋_GB2312"/>
          <w:color w:val="auto"/>
          <w:sz w:val="32"/>
          <w:szCs w:val="32"/>
        </w:rPr>
        <w:t>%；住房保障支出</w:t>
      </w:r>
      <w:r>
        <w:rPr>
          <w:rFonts w:hint="eastAsia" w:ascii="仿宋" w:hAnsi="仿宋" w:eastAsia="仿宋" w:cs="仿宋"/>
          <w:color w:val="auto"/>
          <w:sz w:val="32"/>
          <w:szCs w:val="32"/>
        </w:rPr>
        <w:t>21.44</w:t>
      </w:r>
      <w:r>
        <w:rPr>
          <w:rFonts w:hint="eastAsia" w:eastAsia="仿宋_GB2312"/>
          <w:color w:val="auto"/>
          <w:sz w:val="32"/>
          <w:szCs w:val="32"/>
        </w:rPr>
        <w:t>万元，</w:t>
      </w:r>
      <w:r>
        <w:rPr>
          <w:rFonts w:eastAsia="仿宋_GB2312"/>
          <w:color w:val="auto"/>
          <w:sz w:val="32"/>
          <w:szCs w:val="32"/>
        </w:rPr>
        <w:t>占</w:t>
      </w:r>
      <w:r>
        <w:rPr>
          <w:rFonts w:hint="eastAsia" w:ascii="仿宋" w:hAnsi="仿宋" w:eastAsia="仿宋" w:cs="仿宋"/>
          <w:color w:val="auto"/>
          <w:sz w:val="32"/>
          <w:szCs w:val="32"/>
        </w:rPr>
        <w:t>1.89</w:t>
      </w:r>
      <w:r>
        <w:rPr>
          <w:rFonts w:hint="eastAsia" w:eastAsia="仿宋_GB2312"/>
          <w:color w:val="auto"/>
          <w:sz w:val="32"/>
          <w:szCs w:val="32"/>
        </w:rPr>
        <w:t>%</w:t>
      </w:r>
      <w:r>
        <w:rPr>
          <w:rFonts w:hint="eastAsia" w:ascii="仿宋" w:hAnsi="仿宋" w:eastAsia="仿宋" w:cs="仿宋"/>
          <w:color w:val="auto"/>
          <w:sz w:val="32"/>
          <w:szCs w:val="32"/>
        </w:rPr>
        <w:t>，</w:t>
      </w:r>
      <w:r>
        <w:rPr>
          <w:rFonts w:hint="eastAsia" w:ascii="仿宋" w:hAnsi="仿宋" w:eastAsia="仿宋" w:cs="仿宋"/>
          <w:bCs/>
          <w:color w:val="auto"/>
          <w:kern w:val="0"/>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（一）基本支出：</w:t>
      </w:r>
      <w:r>
        <w:rPr>
          <w:rFonts w:hint="eastAsia" w:ascii="仿宋" w:hAnsi="仿宋" w:eastAsia="仿宋" w:cs="仿宋"/>
          <w:bCs/>
          <w:color w:val="auto"/>
          <w:kern w:val="0"/>
          <w:sz w:val="32"/>
          <w:szCs w:val="32"/>
        </w:rPr>
        <w:t>2021年本部门基本支出预算数为359.26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（二）项目支出：</w:t>
      </w:r>
      <w:r>
        <w:rPr>
          <w:rFonts w:hint="eastAsia" w:ascii="仿宋" w:hAnsi="仿宋" w:eastAsia="仿宋" w:cs="仿宋"/>
          <w:bCs/>
          <w:color w:val="auto"/>
          <w:kern w:val="0"/>
          <w:sz w:val="32"/>
          <w:szCs w:val="32"/>
        </w:rPr>
        <w:t>2021年本部门项目支出预算数为772万元，是指单位为完成特定行政工作任务或事业发展目标而发生的支出，包括有关事业发展专项、专项业务费、基本建设支出、对市县专项补助等。其中：信访业务工作经费支出772万元，主要用于信访工作、进京赴省到市来区信访群众的接待、排查化解等经费支出、推进特殊疑难信访问题的化解以及信访救助经费支出等方面。</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highlight w:val="red"/>
        </w:rPr>
      </w:pPr>
      <w:r>
        <w:rPr>
          <w:rFonts w:hint="eastAsia" w:ascii="仿宋" w:hAnsi="仿宋" w:eastAsia="仿宋" w:cs="仿宋"/>
          <w:bCs/>
          <w:color w:val="auto"/>
          <w:kern w:val="0"/>
          <w:sz w:val="32"/>
          <w:szCs w:val="32"/>
          <w:highlight w:val="none"/>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
          <w:color w:val="auto"/>
          <w:kern w:val="0"/>
          <w:sz w:val="32"/>
          <w:szCs w:val="32"/>
        </w:rPr>
        <w:t>（一）机关运行经费：</w:t>
      </w:r>
      <w:r>
        <w:rPr>
          <w:rFonts w:hint="eastAsia" w:ascii="仿宋" w:hAnsi="仿宋" w:eastAsia="仿宋" w:cs="仿宋"/>
          <w:bCs/>
          <w:color w:val="auto"/>
          <w:kern w:val="0"/>
          <w:sz w:val="32"/>
          <w:szCs w:val="32"/>
        </w:rPr>
        <w:t>2021年局机关（行政单位）以及二级机构的机关运行经费当年一般公共预算拨款28.81万元，比2020年预算增加2.99万元，增长11.58%。主要是办公费和其他</w:t>
      </w:r>
      <w:r>
        <w:rPr>
          <w:rFonts w:hint="eastAsia" w:ascii="仿宋" w:hAnsi="仿宋" w:eastAsia="仿宋" w:cs="仿宋"/>
          <w:bCs/>
          <w:kern w:val="0"/>
          <w:sz w:val="32"/>
          <w:szCs w:val="32"/>
        </w:rPr>
        <w:t>交通费用等增加。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highlight w:val="none"/>
          <w:u w:val="none"/>
        </w:rPr>
      </w:pPr>
      <w:r>
        <w:rPr>
          <w:rFonts w:hint="eastAsia" w:ascii="仿宋" w:hAnsi="仿宋" w:eastAsia="仿宋" w:cs="仿宋"/>
          <w:b/>
          <w:kern w:val="0"/>
          <w:sz w:val="32"/>
          <w:szCs w:val="32"/>
        </w:rPr>
        <w:t>（二）“三公”经费预算：</w:t>
      </w:r>
      <w:r>
        <w:rPr>
          <w:rFonts w:hint="eastAsia" w:ascii="仿宋" w:hAnsi="仿宋" w:eastAsia="仿宋" w:cs="仿宋"/>
          <w:bCs/>
          <w:kern w:val="0"/>
          <w:sz w:val="32"/>
          <w:szCs w:val="32"/>
        </w:rPr>
        <w:t>2021年“三公”经费预算数为0.3万元，其中，公务接待费0.3万元，公务用车购置及运行费0万元</w:t>
      </w:r>
      <w:r>
        <w:rPr>
          <w:rFonts w:hint="eastAsia" w:ascii="仿宋" w:hAnsi="仿宋" w:eastAsia="仿宋" w:cs="仿宋"/>
          <w:sz w:val="32"/>
          <w:szCs w:val="32"/>
        </w:rPr>
        <w:t>（其中，公务用车购置费0万元，公务用车运行费0万元），</w:t>
      </w:r>
      <w:r>
        <w:rPr>
          <w:rFonts w:hint="eastAsia" w:ascii="仿宋" w:hAnsi="仿宋" w:eastAsia="仿宋" w:cs="仿宋"/>
          <w:bCs/>
          <w:kern w:val="0"/>
          <w:sz w:val="32"/>
          <w:szCs w:val="32"/>
        </w:rPr>
        <w:t>因公出国（境）费0万元。2021年“三公”经费预算数比2020年预算数减少0.2万元，</w:t>
      </w:r>
      <w:r>
        <w:rPr>
          <w:rFonts w:hint="eastAsia" w:ascii="仿宋" w:hAnsi="仿宋" w:eastAsia="仿宋" w:cs="仿宋"/>
          <w:bCs/>
          <w:kern w:val="0"/>
          <w:sz w:val="32"/>
          <w:szCs w:val="32"/>
          <w:highlight w:val="none"/>
          <w:u w:val="none"/>
        </w:rPr>
        <w:t>主要原因是</w:t>
      </w:r>
      <w:r>
        <w:rPr>
          <w:rFonts w:hint="eastAsia" w:ascii="仿宋" w:hAnsi="仿宋" w:eastAsia="仿宋" w:cs="仿宋"/>
          <w:bCs/>
          <w:kern w:val="0"/>
          <w:sz w:val="32"/>
          <w:szCs w:val="32"/>
          <w:highlight w:val="none"/>
          <w:u w:val="none"/>
          <w:lang w:eastAsia="zh-CN"/>
        </w:rPr>
        <w:t>公务接待费用的预算支出减少</w:t>
      </w:r>
      <w:r>
        <w:rPr>
          <w:rFonts w:hint="eastAsia" w:ascii="仿宋" w:hAnsi="仿宋" w:eastAsia="仿宋" w:cs="仿宋"/>
          <w:bCs/>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Cs/>
          <w:kern w:val="0"/>
          <w:sz w:val="32"/>
          <w:szCs w:val="32"/>
        </w:rPr>
      </w:pPr>
      <w:r>
        <w:rPr>
          <w:rFonts w:hint="eastAsia" w:ascii="仿宋" w:hAnsi="仿宋" w:eastAsia="仿宋" w:cs="仿宋"/>
          <w:b/>
          <w:sz w:val="32"/>
          <w:szCs w:val="32"/>
          <w:highlight w:val="none"/>
          <w:u w:val="none"/>
        </w:rPr>
        <w:t>（三）一般性支出情况：2021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0</w:t>
      </w:r>
      <w:r>
        <w:rPr>
          <w:rFonts w:hint="eastAsia" w:ascii="仿宋" w:hAnsi="仿宋" w:eastAsia="仿宋" w:cs="仿宋"/>
          <w:kern w:val="0"/>
          <w:sz w:val="32"/>
          <w:szCs w:val="32"/>
          <w:highlight w:val="none"/>
          <w:u w:val="none"/>
        </w:rPr>
        <w:t>万元，</w:t>
      </w:r>
      <w:r>
        <w:rPr>
          <w:rFonts w:hint="eastAsia" w:ascii="仿宋" w:hAnsi="仿宋" w:eastAsia="仿宋" w:cs="仿宋"/>
          <w:kern w:val="0"/>
          <w:sz w:val="32"/>
          <w:szCs w:val="32"/>
          <w:highlight w:val="none"/>
          <w:u w:val="none"/>
          <w:lang w:eastAsia="zh-CN"/>
        </w:rPr>
        <w:t>未打算</w:t>
      </w:r>
      <w:r>
        <w:rPr>
          <w:rFonts w:hint="eastAsia" w:ascii="仿宋" w:hAnsi="仿宋" w:eastAsia="仿宋" w:cs="仿宋"/>
          <w:kern w:val="0"/>
          <w:sz w:val="32"/>
          <w:szCs w:val="32"/>
          <w:highlight w:val="none"/>
          <w:u w:val="none"/>
        </w:rPr>
        <w:t>召开</w:t>
      </w:r>
      <w:r>
        <w:rPr>
          <w:rFonts w:hint="eastAsia" w:ascii="仿宋" w:hAnsi="仿宋" w:eastAsia="仿宋" w:cs="仿宋"/>
          <w:kern w:val="0"/>
          <w:sz w:val="32"/>
          <w:szCs w:val="32"/>
          <w:highlight w:val="none"/>
          <w:u w:val="none"/>
          <w:lang w:eastAsia="zh-CN"/>
        </w:rPr>
        <w:t>大型</w:t>
      </w:r>
      <w:r>
        <w:rPr>
          <w:rFonts w:hint="eastAsia" w:ascii="仿宋" w:hAnsi="仿宋" w:eastAsia="仿宋" w:cs="仿宋"/>
          <w:kern w:val="0"/>
          <w:sz w:val="32"/>
          <w:szCs w:val="32"/>
          <w:highlight w:val="none"/>
          <w:u w:val="none"/>
        </w:rPr>
        <w:t>会议；培训费预算</w:t>
      </w:r>
      <w:r>
        <w:rPr>
          <w:rFonts w:hint="eastAsia" w:ascii="仿宋" w:hAnsi="仿宋" w:eastAsia="仿宋" w:cs="仿宋"/>
          <w:sz w:val="32"/>
          <w:szCs w:val="32"/>
          <w:highlight w:val="none"/>
          <w:u w:val="none"/>
          <w:lang w:val="en-US" w:eastAsia="zh-CN"/>
        </w:rPr>
        <w:t>2</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lang w:eastAsia="zh-CN"/>
        </w:rPr>
        <w:t>全区信访工作业务</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120</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lang w:eastAsia="zh-CN"/>
        </w:rPr>
        <w:t>讲授信访业务办理工作规程等</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无</w:t>
      </w:r>
      <w:r>
        <w:rPr>
          <w:rFonts w:hint="eastAsia" w:ascii="仿宋" w:hAnsi="仿宋" w:eastAsia="仿宋" w:cs="仿宋"/>
          <w:kern w:val="0"/>
          <w:sz w:val="32"/>
          <w:szCs w:val="32"/>
          <w:highlight w:val="none"/>
          <w:u w:val="none"/>
        </w:rPr>
        <w:t>节庆、晚会、论坛、赛事</w:t>
      </w:r>
      <w:r>
        <w:rPr>
          <w:rFonts w:hint="eastAsia" w:ascii="仿宋" w:hAnsi="仿宋" w:eastAsia="仿宋" w:cs="仿宋"/>
          <w:kern w:val="0"/>
          <w:sz w:val="32"/>
          <w:szCs w:val="32"/>
          <w:highlight w:val="none"/>
          <w:u w:val="none"/>
          <w:lang w:eastAsia="zh-CN"/>
        </w:rPr>
        <w:t>等</w:t>
      </w:r>
      <w:r>
        <w:rPr>
          <w:rFonts w:hint="eastAsia" w:ascii="仿宋" w:hAnsi="仿宋" w:eastAsia="仿宋" w:cs="仿宋"/>
          <w:kern w:val="0"/>
          <w:sz w:val="32"/>
          <w:szCs w:val="32"/>
          <w:highlight w:val="none"/>
          <w:u w:val="none"/>
        </w:rPr>
        <w:t>活动</w:t>
      </w:r>
      <w:r>
        <w:rPr>
          <w:rFonts w:hint="eastAsia" w:ascii="仿宋" w:hAnsi="仿宋" w:eastAsia="仿宋" w:cs="仿宋"/>
          <w:kern w:val="0"/>
          <w:sz w:val="32"/>
          <w:szCs w:val="32"/>
          <w:highlight w:val="none"/>
          <w:u w:val="none"/>
          <w:lang w:eastAsia="zh-CN"/>
        </w:rPr>
        <w:t>支出</w:t>
      </w:r>
      <w:r>
        <w:rPr>
          <w:rFonts w:hint="eastAsia" w:ascii="仿宋" w:hAnsi="仿宋" w:eastAsia="仿宋" w:cs="仿宋"/>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（四）政府采购情况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2021年开福区信访局政府采购预算总额15万元，其中，政府采购货物预算7万元，</w:t>
      </w:r>
      <w:r>
        <w:rPr>
          <w:rFonts w:hint="eastAsia" w:ascii="仿宋" w:hAnsi="仿宋" w:eastAsia="仿宋" w:cs="仿宋"/>
          <w:sz w:val="32"/>
          <w:szCs w:val="32"/>
        </w:rPr>
        <w:t>工程类采购预算0万元，</w:t>
      </w:r>
      <w:r>
        <w:rPr>
          <w:rFonts w:hint="eastAsia" w:ascii="仿宋" w:hAnsi="仿宋" w:eastAsia="仿宋" w:cs="仿宋"/>
          <w:bCs/>
          <w:kern w:val="0"/>
          <w:sz w:val="32"/>
          <w:szCs w:val="32"/>
        </w:rPr>
        <w:t>政府采购服务预算8万元。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（六）预算绩效管理情况：</w:t>
      </w:r>
      <w:r>
        <w:rPr>
          <w:rFonts w:hint="eastAsia" w:ascii="仿宋" w:hAnsi="仿宋" w:eastAsia="仿宋" w:cs="仿宋"/>
          <w:bCs/>
          <w:kern w:val="0"/>
          <w:sz w:val="32"/>
          <w:szCs w:val="32"/>
        </w:rPr>
        <w:t>按照市本级预算绩效管理工作的总体要求，2021年长沙市开福区信访局整体支出1131.26万元，</w:t>
      </w:r>
      <w:bookmarkStart w:id="0" w:name="_GoBack"/>
      <w:r>
        <w:rPr>
          <w:rFonts w:hint="eastAsia" w:ascii="仿宋" w:hAnsi="仿宋" w:eastAsia="仿宋" w:cs="仿宋"/>
          <w:bCs/>
          <w:color w:val="auto"/>
          <w:kern w:val="0"/>
          <w:sz w:val="32"/>
          <w:szCs w:val="32"/>
          <w:highlight w:val="none"/>
        </w:rPr>
        <w:t>基本支出</w:t>
      </w:r>
      <w:r>
        <w:rPr>
          <w:rFonts w:ascii="仿宋" w:hAnsi="仿宋" w:eastAsia="仿宋" w:cs="仿宋"/>
          <w:bCs/>
          <w:color w:val="auto"/>
          <w:kern w:val="0"/>
          <w:sz w:val="32"/>
          <w:szCs w:val="32"/>
          <w:highlight w:val="none"/>
        </w:rPr>
        <w:t>359.26</w:t>
      </w:r>
      <w:r>
        <w:rPr>
          <w:rFonts w:hint="eastAsia" w:ascii="仿宋" w:hAnsi="仿宋" w:eastAsia="仿宋" w:cs="仿宋"/>
          <w:bCs/>
          <w:color w:val="auto"/>
          <w:kern w:val="0"/>
          <w:sz w:val="32"/>
          <w:szCs w:val="32"/>
          <w:highlight w:val="none"/>
        </w:rPr>
        <w:t>万元，项目支出772万元，</w:t>
      </w:r>
      <w:bookmarkEnd w:id="0"/>
      <w:r>
        <w:rPr>
          <w:rFonts w:hint="eastAsia" w:ascii="仿宋" w:hAnsi="仿宋" w:eastAsia="仿宋" w:cs="仿宋"/>
          <w:bCs/>
          <w:kern w:val="0"/>
          <w:sz w:val="32"/>
          <w:szCs w:val="32"/>
        </w:rPr>
        <w:t>全部实行整体支出绩效目标管理，编报绩效目标的项目1个，涉及项目支出772万元，其中：信访业务工作经费772万元，全部实行项目支出绩效目标管理。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widowControl/>
        <w:spacing w:line="600" w:lineRule="exact"/>
        <w:ind w:firstLine="640" w:firstLineChars="200"/>
        <w:rPr>
          <w:rFonts w:ascii="仿宋" w:hAnsi="仿宋" w:eastAsia="仿宋" w:cs="仿宋"/>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ABFBA"/>
    <w:multiLevelType w:val="singleLevel"/>
    <w:tmpl w:val="C16ABFBA"/>
    <w:lvl w:ilvl="0" w:tentative="0">
      <w:start w:val="1"/>
      <w:numFmt w:val="chineseCounting"/>
      <w:suff w:val="space"/>
      <w:lvlText w:val="第%1部分"/>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ZmVlZWE1YThmOTUxYzdmMmU4OWMyMmJiMWY5ZTgifQ=="/>
  </w:docVars>
  <w:rsids>
    <w:rsidRoot w:val="00987E72"/>
    <w:rsid w:val="00123C56"/>
    <w:rsid w:val="006C08BF"/>
    <w:rsid w:val="00814C55"/>
    <w:rsid w:val="00856580"/>
    <w:rsid w:val="00987E72"/>
    <w:rsid w:val="00A56CE2"/>
    <w:rsid w:val="00AD222D"/>
    <w:rsid w:val="00C71CCB"/>
    <w:rsid w:val="09751355"/>
    <w:rsid w:val="0A4B3069"/>
    <w:rsid w:val="11A73735"/>
    <w:rsid w:val="21A73CD6"/>
    <w:rsid w:val="61CB2E25"/>
    <w:rsid w:val="76527C34"/>
    <w:rsid w:val="77E3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6"/>
    <w:link w:val="2"/>
    <w:qFormat/>
    <w:uiPriority w:val="9"/>
    <w:rPr>
      <w:rFonts w:ascii="宋体" w:hAnsi="宋体" w:eastAsia="宋体" w:cs="宋体"/>
      <w:b/>
      <w:bCs/>
      <w:kern w:val="0"/>
      <w:sz w:val="27"/>
      <w:szCs w:val="27"/>
    </w:rPr>
  </w:style>
  <w:style w:type="character" w:customStyle="1" w:styleId="9">
    <w:name w:val="kf_sj"/>
    <w:basedOn w:val="6"/>
    <w:qFormat/>
    <w:uiPriority w:val="0"/>
  </w:style>
  <w:style w:type="character" w:customStyle="1" w:styleId="10">
    <w:name w:val="kf_ly"/>
    <w:basedOn w:val="6"/>
    <w:qFormat/>
    <w:uiPriority w:val="0"/>
  </w:style>
  <w:style w:type="character" w:customStyle="1" w:styleId="11">
    <w:name w:val="页眉 Char"/>
    <w:basedOn w:val="6"/>
    <w:link w:val="4"/>
    <w:qFormat/>
    <w:uiPriority w:val="99"/>
    <w:rPr>
      <w:kern w:val="2"/>
      <w:sz w:val="18"/>
      <w:szCs w:val="18"/>
    </w:rPr>
  </w:style>
  <w:style w:type="character" w:customStyle="1" w:styleId="12">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2565</Words>
  <Characters>2785</Characters>
  <Lines>20</Lines>
  <Paragraphs>5</Paragraphs>
  <TotalTime>3</TotalTime>
  <ScaleCrop>false</ScaleCrop>
  <LinksUpToDate>false</LinksUpToDate>
  <CharactersWithSpaces>2818</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2022-06-28T13:17:00Z</dcterms:created>
  <dc:creator>Administrator</dc:creator>
  <cp:lastModifiedBy>后知后觉</cp:lastModifiedBy>
  <dcterms:modified xsi:type="dcterms:W3CDTF">2022-08-19T03:35:22Z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3A35A8D5028E44DB8EB083DDD8F2BAB1</vt:lpwstr>
  </property>
</Properties>
</file>