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80" w:lineRule="exact"/>
        <w:jc w:val="center"/>
        <w:rPr>
          <w:rFonts w:hint="default"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bidi w:val="0"/>
        <w:spacing w:line="580" w:lineRule="exact"/>
        <w:jc w:val="center"/>
        <w:rPr>
          <w:rFonts w:hint="default" w:ascii="Times New Roman" w:hAnsi="Times New Roman" w:eastAsia="方正小标宋简体" w:cs="Times New Roman"/>
          <w:color w:val="auto"/>
          <w:sz w:val="44"/>
          <w:szCs w:val="44"/>
          <w:lang w:val="en-US" w:eastAsia="zh-CN"/>
        </w:rPr>
      </w:pPr>
      <w:r>
        <w:rPr>
          <w:rFonts w:hint="eastAsia" w:eastAsia="方正小标宋简体" w:cs="Times New Roman"/>
          <w:color w:val="auto"/>
          <w:sz w:val="44"/>
          <w:szCs w:val="44"/>
          <w:lang w:val="en-US" w:eastAsia="zh-CN"/>
        </w:rPr>
        <w:t>2022年重点</w:t>
      </w:r>
      <w:r>
        <w:rPr>
          <w:rFonts w:hint="default" w:ascii="Times New Roman" w:hAnsi="Times New Roman" w:eastAsia="方正小标宋简体" w:cs="Times New Roman"/>
          <w:color w:val="auto"/>
          <w:sz w:val="44"/>
          <w:szCs w:val="44"/>
          <w:lang w:eastAsia="zh-CN"/>
        </w:rPr>
        <w:t>项目</w:t>
      </w:r>
      <w:r>
        <w:rPr>
          <w:rFonts w:hint="default" w:ascii="Times New Roman" w:hAnsi="Times New Roman" w:eastAsia="方正小标宋简体" w:cs="Times New Roman"/>
          <w:color w:val="auto"/>
          <w:sz w:val="44"/>
          <w:szCs w:val="44"/>
        </w:rPr>
        <w:t>绩效自评</w:t>
      </w:r>
      <w:r>
        <w:rPr>
          <w:rFonts w:hint="eastAsia" w:eastAsia="方正小标宋简体" w:cs="Times New Roman"/>
          <w:color w:val="auto"/>
          <w:sz w:val="44"/>
          <w:szCs w:val="44"/>
          <w:lang w:val="en-US" w:eastAsia="zh-CN"/>
        </w:rPr>
        <w:t>结果情况说明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default" w:ascii="Times New Roman" w:hAnsi="Times New Roman" w:eastAsia="黑体" w:cs="Times New Roman"/>
          <w:color w:val="auto"/>
          <w:kern w:val="0"/>
          <w:sz w:val="32"/>
          <w:szCs w:val="32"/>
        </w:rPr>
      </w:pPr>
      <w:r>
        <w:rPr>
          <w:rFonts w:hint="default" w:ascii="Times New Roman" w:hAnsi="Times New Roman" w:cs="Times New Roman"/>
          <w:color w:val="auto"/>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eastAsia="黑体" w:cs="Times New Roman"/>
          <w:color w:val="auto"/>
          <w:sz w:val="32"/>
          <w:szCs w:val="32"/>
          <w:lang w:val="en-US" w:eastAsia="zh-CN"/>
        </w:rPr>
        <w:t>重点</w:t>
      </w:r>
      <w:r>
        <w:rPr>
          <w:rFonts w:hint="default" w:ascii="Times New Roman" w:hAnsi="Times New Roman" w:eastAsia="黑体" w:cs="Times New Roman"/>
          <w:color w:val="auto"/>
          <w:sz w:val="32"/>
          <w:szCs w:val="32"/>
          <w:lang w:eastAsia="zh-CN"/>
        </w:rPr>
        <w:t>项目支出</w:t>
      </w:r>
      <w:r>
        <w:rPr>
          <w:rFonts w:hint="default" w:ascii="Times New Roman" w:hAnsi="Times New Roman" w:eastAsia="黑体" w:cs="Times New Roman"/>
          <w:color w:val="auto"/>
          <w:sz w:val="32"/>
          <w:szCs w:val="32"/>
        </w:rPr>
        <w:t>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b w:val="0"/>
          <w:bCs/>
          <w:color w:val="auto"/>
          <w:sz w:val="32"/>
          <w:szCs w:val="32"/>
          <w:lang w:eastAsia="zh-CN"/>
        </w:rPr>
        <w:t>项目支出</w:t>
      </w:r>
      <w:r>
        <w:rPr>
          <w:rFonts w:hint="eastAsia" w:ascii="仿宋_GB2312" w:hAnsi="仿宋_GB2312" w:eastAsia="仿宋_GB2312" w:cs="仿宋_GB2312"/>
          <w:b w:val="0"/>
          <w:bCs/>
          <w:color w:val="auto"/>
          <w:sz w:val="32"/>
          <w:szCs w:val="32"/>
        </w:rPr>
        <w:t>资金概况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2021年我单位项目支出预算共</w:t>
      </w:r>
      <w:r>
        <w:rPr>
          <w:rFonts w:hint="default" w:ascii="Times New Roman" w:hAnsi="Times New Roman" w:eastAsia="仿宋_GB2312" w:cs="Times New Roman"/>
          <w:color w:val="auto"/>
          <w:sz w:val="32"/>
          <w:szCs w:val="32"/>
          <w:u w:val="single"/>
          <w:lang w:val="en-US" w:eastAsia="zh-CN"/>
        </w:rPr>
        <w:t xml:space="preserve"> </w:t>
      </w:r>
      <w:r>
        <w:rPr>
          <w:rFonts w:hint="eastAsia" w:cs="Times New Roman"/>
          <w:color w:val="auto"/>
          <w:sz w:val="32"/>
          <w:szCs w:val="32"/>
          <w:u w:val="single"/>
          <w:lang w:val="en-US" w:eastAsia="zh-CN"/>
        </w:rPr>
        <w:t>1900</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lang w:val="en-US" w:eastAsia="zh-CN"/>
        </w:rPr>
        <w:t>万元，包含项目</w:t>
      </w:r>
      <w:r>
        <w:rPr>
          <w:rFonts w:hint="default" w:ascii="Times New Roman" w:hAnsi="Times New Roman" w:eastAsia="仿宋_GB2312" w:cs="Times New Roman"/>
          <w:color w:val="auto"/>
          <w:sz w:val="32"/>
          <w:szCs w:val="32"/>
          <w:u w:val="single"/>
          <w:lang w:val="en-US" w:eastAsia="zh-CN"/>
        </w:rPr>
        <w:t xml:space="preserve">  </w:t>
      </w:r>
      <w:r>
        <w:rPr>
          <w:rFonts w:hint="eastAsia" w:cs="Times New Roman"/>
          <w:color w:val="auto"/>
          <w:sz w:val="32"/>
          <w:szCs w:val="32"/>
          <w:u w:val="single"/>
          <w:lang w:val="en-US" w:eastAsia="zh-CN"/>
        </w:rPr>
        <w:t>1</w:t>
      </w:r>
      <w:r>
        <w:rPr>
          <w:rFonts w:hint="default" w:ascii="Times New Roman" w:hAnsi="Times New Roman" w:eastAsia="仿宋_GB2312" w:cs="Times New Roman"/>
          <w:color w:val="auto"/>
          <w:sz w:val="32"/>
          <w:szCs w:val="32"/>
          <w:u w:val="none"/>
          <w:lang w:val="en-US" w:eastAsia="zh-CN"/>
        </w:rPr>
        <w:t>个，实际支出</w:t>
      </w:r>
      <w:r>
        <w:rPr>
          <w:rFonts w:hint="default" w:ascii="Times New Roman" w:hAnsi="Times New Roman" w:eastAsia="仿宋_GB2312" w:cs="Times New Roman"/>
          <w:color w:val="auto"/>
          <w:sz w:val="32"/>
          <w:szCs w:val="32"/>
          <w:u w:val="single"/>
          <w:lang w:val="en-US" w:eastAsia="zh-CN"/>
        </w:rPr>
        <w:t xml:space="preserve"> </w:t>
      </w:r>
      <w:r>
        <w:rPr>
          <w:rFonts w:hint="eastAsia" w:cs="Times New Roman"/>
          <w:color w:val="auto"/>
          <w:sz w:val="32"/>
          <w:szCs w:val="32"/>
          <w:u w:val="single"/>
          <w:lang w:val="en-US" w:eastAsia="zh-CN"/>
        </w:rPr>
        <w:t>2000</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lang w:val="en-US" w:eastAsia="zh-CN"/>
        </w:rPr>
        <w:t>万元，涵盖项目</w:t>
      </w:r>
      <w:r>
        <w:rPr>
          <w:rFonts w:hint="default" w:ascii="Times New Roman" w:hAnsi="Times New Roman" w:eastAsia="仿宋_GB2312" w:cs="Times New Roman"/>
          <w:color w:val="auto"/>
          <w:sz w:val="32"/>
          <w:szCs w:val="32"/>
          <w:u w:val="single"/>
          <w:lang w:val="en-US" w:eastAsia="zh-CN"/>
        </w:rPr>
        <w:t xml:space="preserve"> </w:t>
      </w:r>
      <w:r>
        <w:rPr>
          <w:rFonts w:hint="eastAsia" w:cs="Times New Roman"/>
          <w:color w:val="auto"/>
          <w:sz w:val="32"/>
          <w:szCs w:val="32"/>
          <w:u w:val="single"/>
          <w:lang w:val="en-US" w:eastAsia="zh-CN"/>
        </w:rPr>
        <w:t>1</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none"/>
          <w:lang w:val="en-US" w:eastAsia="zh-CN"/>
        </w:rPr>
        <w:t>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具体情况如下：</w:t>
      </w:r>
    </w:p>
    <w:p>
      <w:pPr>
        <w:keepNext w:val="0"/>
        <w:keepLines w:val="0"/>
        <w:pageBreakBefore w:val="0"/>
        <w:kinsoku/>
        <w:wordWrap/>
        <w:overflowPunct/>
        <w:topLinePunct w:val="0"/>
        <w:bidi w:val="0"/>
        <w:spacing w:line="580" w:lineRule="exact"/>
        <w:ind w:firstLine="560" w:firstLineChars="20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28"/>
          <w:szCs w:val="28"/>
          <w:lang w:val="en-US" w:eastAsia="zh-CN"/>
        </w:rPr>
        <w:t>金额单位：万元</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893"/>
        <w:gridCol w:w="2867"/>
        <w:gridCol w:w="1046"/>
        <w:gridCol w:w="1046"/>
        <w:gridCol w:w="1046"/>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项目名称</w:t>
            </w:r>
          </w:p>
        </w:tc>
        <w:tc>
          <w:tcPr>
            <w:tcW w:w="8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项目类型</w:t>
            </w:r>
          </w:p>
        </w:tc>
        <w:tc>
          <w:tcPr>
            <w:tcW w:w="28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资金用途、使用方向</w:t>
            </w: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预算金额</w:t>
            </w: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p>
        </w:tc>
        <w:tc>
          <w:tcPr>
            <w:tcW w:w="8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p>
        </w:tc>
        <w:tc>
          <w:tcPr>
            <w:tcW w:w="28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4"/>
                <w:vertAlign w:val="baseline"/>
                <w:lang w:val="en-US" w:eastAsia="zh-CN"/>
              </w:rPr>
            </w:pP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2"/>
                <w:szCs w:val="22"/>
                <w:vertAlign w:val="baseline"/>
                <w:lang w:val="en-US" w:eastAsia="zh-CN"/>
              </w:rPr>
            </w:pPr>
            <w:r>
              <w:rPr>
                <w:rFonts w:hint="eastAsia" w:ascii="黑体" w:hAnsi="黑体" w:eastAsia="黑体" w:cs="黑体"/>
                <w:color w:val="auto"/>
                <w:sz w:val="22"/>
                <w:szCs w:val="22"/>
                <w:vertAlign w:val="baseline"/>
                <w:lang w:val="en-US" w:eastAsia="zh-CN"/>
              </w:rPr>
              <w:t>指标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2"/>
                <w:szCs w:val="22"/>
                <w:vertAlign w:val="baseline"/>
                <w:lang w:val="en-US" w:eastAsia="zh-CN" w:bidi="ar-SA"/>
              </w:rPr>
            </w:pPr>
            <w:r>
              <w:rPr>
                <w:rFonts w:hint="eastAsia" w:ascii="黑体" w:hAnsi="黑体" w:eastAsia="黑体" w:cs="黑体"/>
                <w:color w:val="auto"/>
                <w:sz w:val="22"/>
                <w:szCs w:val="22"/>
                <w:vertAlign w:val="baseline"/>
                <w:lang w:val="en-US" w:eastAsia="zh-CN"/>
              </w:rPr>
              <w:t>总额</w:t>
            </w: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2"/>
                <w:szCs w:val="22"/>
                <w:vertAlign w:val="baseline"/>
                <w:lang w:val="en-US" w:eastAsia="zh-CN"/>
              </w:rPr>
            </w:pPr>
            <w:r>
              <w:rPr>
                <w:rFonts w:hint="eastAsia" w:ascii="黑体" w:hAnsi="黑体" w:eastAsia="黑体" w:cs="黑体"/>
                <w:color w:val="auto"/>
                <w:sz w:val="22"/>
                <w:szCs w:val="22"/>
                <w:vertAlign w:val="baseline"/>
                <w:lang w:val="en-US" w:eastAsia="zh-CN"/>
              </w:rPr>
              <w:t>其中：区级资金</w:t>
            </w: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2"/>
                <w:szCs w:val="22"/>
                <w:vertAlign w:val="baseline"/>
                <w:lang w:val="en-US" w:eastAsia="zh-CN" w:bidi="ar-SA"/>
              </w:rPr>
            </w:pPr>
            <w:r>
              <w:rPr>
                <w:rFonts w:hint="eastAsia" w:ascii="黑体" w:hAnsi="黑体" w:eastAsia="黑体" w:cs="黑体"/>
                <w:color w:val="auto"/>
                <w:sz w:val="22"/>
                <w:szCs w:val="22"/>
                <w:vertAlign w:val="baseline"/>
                <w:lang w:val="en-US" w:eastAsia="zh-CN"/>
              </w:rPr>
              <w:t>支出总额</w:t>
            </w:r>
          </w:p>
        </w:tc>
        <w:tc>
          <w:tcPr>
            <w:tcW w:w="104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2"/>
                <w:szCs w:val="22"/>
                <w:vertAlign w:val="baseline"/>
                <w:lang w:val="en-US" w:eastAsia="zh-CN" w:bidi="ar-SA"/>
              </w:rPr>
            </w:pPr>
            <w:r>
              <w:rPr>
                <w:rFonts w:hint="eastAsia" w:ascii="黑体" w:hAnsi="黑体" w:eastAsia="黑体" w:cs="黑体"/>
                <w:color w:val="auto"/>
                <w:sz w:val="22"/>
                <w:szCs w:val="22"/>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2"/>
                <w:szCs w:val="22"/>
                <w:vertAlign w:val="baseline"/>
                <w:lang w:val="en-US" w:eastAsia="zh-CN"/>
              </w:rPr>
            </w:pPr>
            <w:r>
              <w:rPr>
                <w:rFonts w:hint="default" w:ascii="Times New Roman" w:hAnsi="Times New Roman" w:eastAsia="仿宋_GB2312" w:cs="Times New Roman"/>
                <w:color w:val="auto"/>
                <w:sz w:val="22"/>
                <w:szCs w:val="22"/>
                <w:vertAlign w:val="baseline"/>
                <w:lang w:val="en-US" w:eastAsia="zh-CN"/>
              </w:rPr>
              <w:t>基层党建经费</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sz w:val="22"/>
                <w:szCs w:val="22"/>
                <w:vertAlign w:val="baseline"/>
                <w:lang w:val="en-US" w:eastAsia="zh-CN"/>
              </w:rPr>
            </w:pPr>
            <w:r>
              <w:rPr>
                <w:rFonts w:hint="default" w:ascii="Times New Roman" w:hAnsi="Times New Roman" w:eastAsia="仿宋_GB2312" w:cs="Times New Roman"/>
                <w:color w:val="auto"/>
                <w:sz w:val="22"/>
                <w:szCs w:val="22"/>
                <w:vertAlign w:val="baseline"/>
                <w:lang w:val="en-US" w:eastAsia="zh-CN"/>
              </w:rPr>
              <w:t>专项工作</w:t>
            </w:r>
          </w:p>
        </w:tc>
        <w:tc>
          <w:tcPr>
            <w:tcW w:w="286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sz w:val="22"/>
                <w:szCs w:val="22"/>
                <w:vertAlign w:val="baseline"/>
                <w:lang w:val="en-US" w:eastAsia="zh-CN"/>
              </w:rPr>
            </w:pPr>
            <w:r>
              <w:rPr>
                <w:rFonts w:hint="default" w:ascii="Times New Roman" w:hAnsi="Times New Roman" w:eastAsia="仿宋_GB2312" w:cs="Times New Roman"/>
                <w:color w:val="auto"/>
                <w:sz w:val="22"/>
                <w:szCs w:val="22"/>
                <w:vertAlign w:val="baseline"/>
                <w:lang w:val="en-US" w:eastAsia="zh-CN"/>
              </w:rPr>
              <w:t>做好党建、干部教育、人才服务的作用，为促进我区全面发展提供组织保障、干部保障、人才保障。</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eastAsia" w:cs="Times New Roman"/>
                <w:color w:val="auto"/>
                <w:sz w:val="22"/>
                <w:szCs w:val="22"/>
                <w:vertAlign w:val="baseline"/>
                <w:lang w:val="en-US" w:eastAsia="zh-CN"/>
              </w:rPr>
              <w:t>1900</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eastAsia" w:cs="Times New Roman"/>
                <w:color w:val="auto"/>
                <w:sz w:val="22"/>
                <w:szCs w:val="22"/>
                <w:vertAlign w:val="baseline"/>
                <w:lang w:val="en-US" w:eastAsia="zh-CN"/>
              </w:rPr>
              <w:t>1900</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default" w:ascii="Times New Roman" w:hAnsi="Times New Roman" w:eastAsia="仿宋_GB2312" w:cs="Times New Roman"/>
                <w:color w:val="auto"/>
                <w:sz w:val="22"/>
                <w:szCs w:val="22"/>
                <w:vertAlign w:val="baseline"/>
                <w:lang w:val="en-US" w:eastAsia="zh-CN"/>
              </w:rPr>
              <w:t>2000</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default" w:ascii="Times New Roman" w:hAnsi="Times New Roman" w:eastAsia="仿宋_GB2312" w:cs="Times New Roman"/>
                <w:color w:val="auto"/>
                <w:sz w:val="22"/>
                <w:szCs w:val="22"/>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713" w:type="dxa"/>
            <w:gridSpan w:val="3"/>
            <w:noWrap w:val="0"/>
            <w:vAlign w:val="center"/>
          </w:tcPr>
          <w:p>
            <w:pPr>
              <w:keepNext w:val="0"/>
              <w:keepLines w:val="0"/>
              <w:pageBreakBefore w:val="0"/>
              <w:tabs>
                <w:tab w:val="left" w:pos="2243"/>
              </w:tabs>
              <w:kinsoku/>
              <w:wordWrap/>
              <w:overflowPunct/>
              <w:topLinePunct w:val="0"/>
              <w:bidi w:val="0"/>
              <w:spacing w:line="580" w:lineRule="exact"/>
              <w:jc w:val="both"/>
              <w:rPr>
                <w:rFonts w:hint="default" w:ascii="Times New Roman" w:hAnsi="Times New Roman" w:eastAsia="仿宋_GB2312" w:cs="Times New Roman"/>
                <w:color w:val="auto"/>
                <w:sz w:val="22"/>
                <w:szCs w:val="22"/>
                <w:vertAlign w:val="baseline"/>
                <w:lang w:val="en-US" w:eastAsia="zh-CN"/>
              </w:rPr>
            </w:pPr>
            <w:r>
              <w:rPr>
                <w:rFonts w:hint="default" w:ascii="Times New Roman" w:hAnsi="Times New Roman" w:eastAsia="仿宋_GB2312" w:cs="Times New Roman"/>
                <w:color w:val="auto"/>
                <w:sz w:val="22"/>
                <w:szCs w:val="22"/>
                <w:vertAlign w:val="baseline"/>
                <w:lang w:val="en-US" w:eastAsia="zh-CN"/>
              </w:rPr>
              <w:tab/>
            </w:r>
            <w:r>
              <w:rPr>
                <w:rFonts w:hint="default" w:ascii="Times New Roman" w:hAnsi="Times New Roman" w:eastAsia="仿宋_GB2312" w:cs="Times New Roman"/>
                <w:color w:val="auto"/>
                <w:sz w:val="22"/>
                <w:szCs w:val="22"/>
                <w:vertAlign w:val="baseline"/>
                <w:lang w:val="en-US" w:eastAsia="zh-CN"/>
              </w:rPr>
              <w:t>合计</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eastAsia" w:cs="Times New Roman"/>
                <w:color w:val="auto"/>
                <w:sz w:val="22"/>
                <w:szCs w:val="22"/>
                <w:vertAlign w:val="baseline"/>
                <w:lang w:val="en-US" w:eastAsia="zh-CN"/>
              </w:rPr>
              <w:t>1900</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eastAsia" w:cs="Times New Roman"/>
                <w:color w:val="auto"/>
                <w:sz w:val="22"/>
                <w:szCs w:val="22"/>
                <w:vertAlign w:val="baseline"/>
                <w:lang w:val="en-US" w:eastAsia="zh-CN"/>
              </w:rPr>
              <w:t>1900</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eastAsia" w:cs="Times New Roman"/>
                <w:color w:val="auto"/>
                <w:sz w:val="22"/>
                <w:szCs w:val="22"/>
                <w:vertAlign w:val="baseline"/>
                <w:lang w:val="en-US" w:eastAsia="zh-CN"/>
              </w:rPr>
              <w:t>2000</w:t>
            </w:r>
          </w:p>
        </w:tc>
        <w:tc>
          <w:tcPr>
            <w:tcW w:w="1046" w:type="dxa"/>
            <w:noWrap w:val="0"/>
            <w:vAlign w:val="center"/>
          </w:tcPr>
          <w:p>
            <w:pPr>
              <w:keepNext w:val="0"/>
              <w:keepLines w:val="0"/>
              <w:pageBreakBefore w:val="0"/>
              <w:kinsoku/>
              <w:wordWrap/>
              <w:overflowPunct/>
              <w:topLinePunct w:val="0"/>
              <w:bidi w:val="0"/>
              <w:spacing w:line="580" w:lineRule="exact"/>
              <w:jc w:val="center"/>
              <w:rPr>
                <w:rFonts w:hint="default" w:ascii="Times New Roman" w:hAnsi="Times New Roman" w:eastAsia="仿宋_GB2312" w:cs="Times New Roman"/>
                <w:color w:val="auto"/>
                <w:sz w:val="22"/>
                <w:szCs w:val="22"/>
                <w:vertAlign w:val="baseline"/>
                <w:lang w:val="en-US" w:eastAsia="zh-CN"/>
              </w:rPr>
            </w:pPr>
            <w:r>
              <w:rPr>
                <w:rFonts w:hint="eastAsia" w:cs="Times New Roman"/>
                <w:color w:val="auto"/>
                <w:sz w:val="22"/>
                <w:szCs w:val="22"/>
                <w:vertAlign w:val="baseline"/>
                <w:lang w:val="en-US" w:eastAsia="zh-CN"/>
              </w:rPr>
              <w:t>2000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（二）项目绩效</w:t>
      </w:r>
      <w:r>
        <w:rPr>
          <w:rFonts w:hint="default" w:ascii="Times New Roman" w:hAnsi="Times New Roman" w:eastAsia="仿宋_GB2312" w:cs="Times New Roman"/>
          <w:b w:val="0"/>
          <w:bCs/>
          <w:color w:val="auto"/>
          <w:sz w:val="32"/>
          <w:szCs w:val="32"/>
        </w:rPr>
        <w:t>目标</w:t>
      </w:r>
      <w:r>
        <w:rPr>
          <w:rFonts w:hint="default" w:ascii="Times New Roman" w:hAnsi="Times New Roman" w:eastAsia="仿宋_GB2312" w:cs="Times New Roman"/>
          <w:b w:val="0"/>
          <w:bCs/>
          <w:color w:val="auto"/>
          <w:sz w:val="32"/>
          <w:szCs w:val="32"/>
          <w:lang w:eastAsia="zh-CN"/>
        </w:rPr>
        <w:t>情况</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left="0" w:firstLine="42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1.加强全区党组织建设和党员队伍建设工作。</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left="0" w:firstLine="42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2.加强干部队伍建设，激发干部队伍内生动力。</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left="0" w:firstLine="42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3.加强人才队伍建设，落实人才奖补政策。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rPr>
          <w:rFonts w:hint="default" w:ascii="Times New Roman" w:hAnsi="Times New Roman" w:eastAsia="仿宋_GB2312" w:cs="Times New Roman"/>
          <w:b w:val="0"/>
          <w:bCs/>
          <w:color w:val="auto"/>
          <w:sz w:val="32"/>
          <w:szCs w:val="32"/>
        </w:rPr>
      </w:pPr>
      <w:r>
        <w:rPr>
          <w:rFonts w:hint="eastAsia" w:ascii="Times New Roman" w:hAnsi="Times New Roman" w:cs="Times New Roman"/>
          <w:b w:val="0"/>
          <w:bCs/>
          <w:color w:val="auto"/>
          <w:sz w:val="32"/>
          <w:szCs w:val="32"/>
          <w:lang w:eastAsia="zh-CN"/>
        </w:rPr>
        <w:t>（</w:t>
      </w:r>
      <w:r>
        <w:rPr>
          <w:rFonts w:hint="eastAsia" w:ascii="Times New Roman" w:hAnsi="Times New Roman" w:cs="Times New Roman"/>
          <w:b w:val="0"/>
          <w:bCs/>
          <w:color w:val="auto"/>
          <w:sz w:val="32"/>
          <w:szCs w:val="32"/>
          <w:lang w:val="en-US" w:eastAsia="zh-CN"/>
        </w:rPr>
        <w:t>三</w:t>
      </w:r>
      <w:r>
        <w:rPr>
          <w:rFonts w:hint="eastAsia"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资金使用管理情况</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left="0" w:firstLine="42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1.实现党建工作的“烟火气”。2022年新建100家以上小区党组织。</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left="0" w:firstLine="42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2.干部队伍建设强力有效，开展多起培训班，建立干部基础信息库。</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left="0" w:firstLine="42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3.加强人才队伍建设，招引逾百“开福合伙人”逐梦北强。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360" w:leftChars="0" w:hanging="720" w:firstLineChars="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绩效评价工作情况</w:t>
      </w:r>
    </w:p>
    <w:p>
      <w:pPr>
        <w:pStyle w:val="7"/>
        <w:keepNext w:val="0"/>
        <w:keepLines w:val="0"/>
        <w:pageBreakBefore w:val="0"/>
        <w:widowControl/>
        <w:suppressLineNumbers w:val="0"/>
        <w:kinsoku/>
        <w:wordWrap/>
        <w:overflowPunct/>
        <w:topLinePunct w:val="0"/>
        <w:bidi w:val="0"/>
        <w:spacing w:before="30" w:beforeAutospacing="0" w:after="30" w:afterAutospacing="0" w:line="58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将部门整体绩效目标细化分解为具体工作，通过清晰的指标予以体现，与本部门年度预算资金相匹配。</w:t>
      </w:r>
      <w:r>
        <w:rPr>
          <w:rFonts w:hint="eastAsia" w:ascii="Times New Roman" w:hAnsi="Times New Roman" w:eastAsia="仿宋_GB2312" w:cs="Times New Roman"/>
          <w:color w:val="auto"/>
          <w:sz w:val="32"/>
          <w:szCs w:val="32"/>
          <w:lang w:val="en-US" w:eastAsia="zh-CN"/>
        </w:rPr>
        <w:t>严格按照</w:t>
      </w:r>
      <w:r>
        <w:rPr>
          <w:rFonts w:hint="default" w:ascii="Times New Roman" w:hAnsi="Times New Roman" w:eastAsia="仿宋_GB2312" w:cs="Times New Roman"/>
          <w:color w:val="auto"/>
          <w:sz w:val="32"/>
          <w:szCs w:val="32"/>
        </w:rPr>
        <w:t>国家财经法规和财务管理制度规定以及有关专项资金管理办法的规定</w:t>
      </w:r>
      <w:r>
        <w:rPr>
          <w:rFonts w:hint="eastAsia" w:ascii="Times New Roman" w:hAnsi="Times New Roman" w:eastAsia="仿宋_GB2312" w:cs="Times New Roman"/>
          <w:color w:val="auto"/>
          <w:sz w:val="32"/>
          <w:szCs w:val="32"/>
          <w:lang w:val="en-US" w:eastAsia="zh-CN"/>
        </w:rPr>
        <w:t>使用资金</w:t>
      </w:r>
      <w:r>
        <w:rPr>
          <w:rFonts w:hint="default" w:ascii="Times New Roman" w:hAnsi="Times New Roman" w:eastAsia="仿宋_GB2312" w:cs="Times New Roman"/>
          <w:color w:val="auto"/>
          <w:sz w:val="32"/>
          <w:szCs w:val="32"/>
        </w:rPr>
        <w:t>；资金的拨付有完整的审批程序和手续；项目的重大开支经过评估论证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符合部门预算批复的用途；符合国家相关法律法规、国民经济发展规划和党委政府决策；与项目单位或委托单位职责密切相关；项目为促进事业发展所必需；项目预期产出效益和效果符合正常的业绩水平</w:t>
      </w:r>
      <w:r>
        <w:rPr>
          <w:rFonts w:hint="eastAsia" w:ascii="Times New Roman" w:hAnsi="Times New Roman" w:eastAsia="仿宋_GB2312" w:cs="Times New Roman"/>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360" w:leftChars="0" w:hanging="720" w:firstLineChars="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项目支出</w:t>
      </w:r>
      <w:r>
        <w:rPr>
          <w:rFonts w:hint="default" w:ascii="Times New Roman" w:hAnsi="Times New Roman" w:eastAsia="黑体" w:cs="Times New Roman"/>
          <w:color w:val="auto"/>
          <w:sz w:val="32"/>
          <w:szCs w:val="32"/>
        </w:rPr>
        <w:t>主要绩效</w:t>
      </w:r>
    </w:p>
    <w:p>
      <w:pPr>
        <w:pStyle w:val="11"/>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一）基层党建推陈出新。深入推进“党建聚合力”工程，创新提出“跟党一起创享幸福”理念，谋划推进“六大行动”，召开“党建聚合力”工程推进会。卫健领域区域化党建做法在全市推介。坚持党建引领小区治理，建成小区党组织405个，230多个小区搭建居民议事平台，麓园亭、王家垅社区“共享事业”等成为深受居民群众欢迎的品牌，第一湾小区入选“全国美好家园典型案例”，迎接省委常委、市委书记吴桂英专题调研。探索“党建兴楼宇”，亿元楼宇增至16栋。开展两新党组织“组建攻坚”行动，覆盖率达到75%以上，成立7家行业党委和16个街道两新综合党委，建成快递外卖小哥红色之家13家、货车司机红色之家1家，新业态新就业群体党建工作迎接中组部、省委组织部调研并获高度肯定。面向社区（村）党组织书记考聘事业编4名，连续第8年公开招聘专职党务工作者，保持队伍在100人左右，开展集中培训5次，完成第六批区级专业党建指导员派驻工作，基层党务工作力量不断加强。</w:t>
      </w:r>
    </w:p>
    <w:p>
      <w:pPr>
        <w:pStyle w:val="11"/>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二）干部工作成果丰硕。坚持党管干部原则和“好干部”标准，出台《关于进一步激励基层干部新时代新担当新作为的十条措施》《进一步促进和激励退出现职领导干部担当作为的措施》等系列文件，调整交流、提拔重用干部5批次284人次，树立了鲜明的用人导向，进一步优化了我区干部队伍结构，推进了园区体制改革。配合做好教育系统人才引进、民转公教师配备、接收安置随军随调家属、区内外公务员和事业编制人员流动调配等工作。高品质举办“学习贯彻党的十九届六中全会精神专题读书班”“学习贯彻党的十九届六中全会精神暨新时代基层干部提升履职能力研修班”，开展“开福大讲堂”，积极推广“领导干部上讲堂”模式，提升领导干部能力素质。扎实开展干部基础信息、档案等清查，建立完善年轻干部、急难险重一线干部等多维度立体数据库。赴16个街道和重点部门开展干部年中谈心谈话，真实准确摸排了解干部情况，为人岗相适、精准用人奠定基础。规范干部队伍管理，建立健全开福区县级领导干部绩效考核自评制度、科级领导干部绩效考核细则、机关事业单位借调（抽调）人员管理办法、进一步加强机关事业单位人员区内流动管理的实施办法、进一步加强机关事业单位人员跨区流动管理的操作办法等政策文件。</w:t>
      </w:r>
    </w:p>
    <w:p>
      <w:pPr>
        <w:pStyle w:val="11"/>
        <w:keepNext w:val="0"/>
        <w:keepLines w:val="0"/>
        <w:pageBreakBefore w:val="0"/>
        <w:widowControl/>
        <w:numPr>
          <w:ilvl w:val="0"/>
          <w:numId w:val="0"/>
        </w:numPr>
        <w:kinsoku/>
        <w:wordWrap/>
        <w:overflowPunct/>
        <w:topLinePunct w:val="0"/>
        <w:autoSpaceDE/>
        <w:autoSpaceDN/>
        <w:bidi w:val="0"/>
        <w:adjustRightInd/>
        <w:spacing w:line="558"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三）人才工作创新有为。打造“开福合伙人”IP、“开福人才地图”、“开开”“福福”引才大使文创吉祥物，推出《开福合伙人》《科学的星火》《开福她力量》等系列典型人才宣传，扩大人才工作影响，深受各界人士好评。组织召开区委人才工作会议，发布“开福合伙人”倍增计划和“开福求贤令”，拟制《2022年开福区紧缺急需人才目录》，出台开福区人才政策“升级版20条”，创新评定8名引才大使、6名人才链链长协助开展人才工作。制定区级人才认定政策，评定区级人才1515名，全区人才总量达到19万人，市级及以上高层次人才总量202人，居长沙市行政区首位。兑现各类奖补资金1020万元。深入推进人才兴区“五五工程”，通过建立区领导联系服务高层次人才机制、开展“与金霞一起向未来”等“党旗下话成长”系列活动、构建人才管理服务系统、举办人才研修班等走心走实措施，涵养人才“活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bookmarkStart w:id="0" w:name="_GoBack"/>
      <w:bookmarkEnd w:id="0"/>
      <w:r>
        <w:rPr>
          <w:rFonts w:hint="default" w:ascii="Times New Roman" w:hAnsi="Times New Roman" w:eastAsia="黑体" w:cs="Times New Roman"/>
          <w:color w:val="auto"/>
          <w:sz w:val="32"/>
          <w:szCs w:val="32"/>
        </w:rPr>
        <w:t>四、存在的问题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需</w:t>
      </w:r>
      <w:r>
        <w:rPr>
          <w:rFonts w:hint="default" w:ascii="Times New Roman" w:hAnsi="Times New Roman" w:cs="Times New Roman"/>
          <w:color w:val="auto"/>
          <w:sz w:val="32"/>
          <w:szCs w:val="32"/>
          <w:lang w:val="en-US" w:eastAsia="zh-CN"/>
        </w:rPr>
        <w:t>进一步强化预算管理意识，做好提前规划，提高预算编制科学性、合理性，提高资金使用效率。</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有关建议</w:t>
      </w:r>
    </w:p>
    <w:p>
      <w:pPr>
        <w:pStyle w:val="2"/>
        <w:keepNext w:val="0"/>
        <w:keepLines w:val="0"/>
        <w:pageBreakBefore w:val="0"/>
        <w:numPr>
          <w:ilvl w:val="0"/>
          <w:numId w:val="0"/>
        </w:numPr>
        <w:kinsoku/>
        <w:wordWrap/>
        <w:overflowPunct/>
        <w:topLinePunct w:val="0"/>
        <w:bidi w:val="0"/>
        <w:spacing w:line="58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无</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无</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sz w:val="28"/>
                        <w:szCs w:val="28"/>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58F2655"/>
    <w:multiLevelType w:val="singleLevel"/>
    <w:tmpl w:val="358F265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YTIxNDlhYWRmMjA2NzQ3ODgxNDJjMjQ4OTFlODQifQ=="/>
  </w:docVars>
  <w:rsids>
    <w:rsidRoot w:val="7BEF4729"/>
    <w:rsid w:val="1E6A1DB6"/>
    <w:rsid w:val="38754EE3"/>
    <w:rsid w:val="5D431D2B"/>
    <w:rsid w:val="7BEF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autoSpaceDE w:val="0"/>
      <w:autoSpaceDN w:val="0"/>
      <w:adjustRightInd w:val="0"/>
      <w:ind w:firstLine="420"/>
      <w:jc w:val="left"/>
    </w:pPr>
    <w:rPr>
      <w:kern w:val="0"/>
    </w:rPr>
  </w:style>
  <w:style w:type="paragraph" w:styleId="3">
    <w:name w:val="Body Text"/>
    <w:basedOn w:val="1"/>
    <w:next w:val="4"/>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ody Text First Indent"/>
    <w:basedOn w:val="3"/>
    <w:qFormat/>
    <w:uiPriority w:val="99"/>
    <w:pPr>
      <w:ind w:firstLine="420" w:firstLineChars="1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2680</Words>
  <Characters>2854</Characters>
  <Lines>0</Lines>
  <Paragraphs>0</Paragraphs>
  <TotalTime>0</TotalTime>
  <ScaleCrop>false</ScaleCrop>
  <LinksUpToDate>false</LinksUpToDate>
  <CharactersWithSpaces>2870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2022-09-16T07:54:00Z</dcterms:created>
  <dc:creator>TY悦</dc:creator>
  <cp:lastModifiedBy>Administrator</cp:lastModifiedBy>
  <dcterms:modified xsi:type="dcterms:W3CDTF">2023-10-17T02:42:30Z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A893C93413BD4B4CBA5B0DDC90A50A6D_13</vt:lpwstr>
  </property>
</Properties>
</file>