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2"/>
        <w:rPr>
          <w:rFonts w:ascii="仿宋" w:hAnsi="仿宋" w:eastAsia="仿宋" w:cs="仿宋"/>
          <w:b/>
          <w:bCs/>
          <w:color w:val="333333"/>
          <w:kern w:val="0"/>
          <w:sz w:val="48"/>
          <w:szCs w:val="48"/>
        </w:rPr>
      </w:pPr>
      <w:r>
        <w:rPr>
          <w:rFonts w:hint="eastAsia" w:ascii="仿宋" w:hAnsi="仿宋" w:eastAsia="仿宋" w:cs="仿宋"/>
          <w:b/>
          <w:bCs/>
          <w:kern w:val="0"/>
          <w:sz w:val="48"/>
          <w:szCs w:val="48"/>
        </w:rPr>
        <w:t>2021年长沙市开福区委宣传部部门预算</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宋体" w:hAnsi="宋体" w:eastAsia="宋体" w:cs="宋体"/>
          <w:color w:val="666666"/>
          <w:kern w:val="0"/>
          <w:sz w:val="24"/>
          <w:szCs w:val="2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textAlignment w:val="auto"/>
        <w:rPr>
          <w:rFonts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四、一般公共预算拨款支出</w:t>
      </w:r>
    </w:p>
    <w:p>
      <w:pPr>
        <w:keepNext w:val="0"/>
        <w:keepLines w:val="0"/>
        <w:pageBreakBefore w:val="0"/>
        <w:widowControl/>
        <w:tabs>
          <w:tab w:val="left" w:pos="6805"/>
        </w:tabs>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五、政府性基金预算支出</w:t>
      </w:r>
      <w:r>
        <w:rPr>
          <w:rFonts w:hint="eastAsia" w:ascii="仿宋" w:hAnsi="仿宋" w:eastAsia="仿宋" w:cs="仿宋"/>
          <w:sz w:val="32"/>
          <w:szCs w:val="32"/>
        </w:rPr>
        <w:tab/>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七、名词解释</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ind w:firstLine="320" w:firstLineChars="100"/>
        <w:textAlignment w:val="auto"/>
        <w:rPr>
          <w:rFonts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ascii="仿宋" w:hAnsi="仿宋" w:eastAsia="仿宋" w:cs="仿宋"/>
          <w:sz w:val="32"/>
          <w:szCs w:val="32"/>
        </w:rPr>
      </w:pPr>
    </w:p>
    <w:p>
      <w:pPr>
        <w:keepNext w:val="0"/>
        <w:keepLines w:val="0"/>
        <w:pageBreakBefore w:val="0"/>
        <w:widowControl/>
        <w:numPr>
          <w:ilvl w:val="0"/>
          <w:numId w:val="2"/>
        </w:numPr>
        <w:kinsoku/>
        <w:wordWrap/>
        <w:overflowPunct/>
        <w:topLinePunct w:val="0"/>
        <w:autoSpaceDE/>
        <w:autoSpaceDN/>
        <w:bidi w:val="0"/>
        <w:adjustRightInd/>
        <w:snapToGrid/>
        <w:spacing w:line="600" w:lineRule="exact"/>
        <w:jc w:val="center"/>
        <w:textAlignment w:val="auto"/>
        <w:rPr>
          <w:rFonts w:ascii="黑体" w:hAnsi="黑体" w:eastAsia="黑体" w:cs="黑体"/>
          <w:b/>
          <w:kern w:val="0"/>
          <w:sz w:val="44"/>
          <w:szCs w:val="44"/>
        </w:rPr>
      </w:pPr>
      <w:r>
        <w:rPr>
          <w:rFonts w:hint="eastAsia" w:ascii="黑体" w:hAnsi="黑体" w:eastAsia="黑体" w:cs="黑体"/>
          <w:b/>
          <w:kern w:val="0"/>
          <w:sz w:val="44"/>
          <w:szCs w:val="44"/>
        </w:rPr>
        <w:t>2021年部门预算说明</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黑体" w:hAnsi="黑体" w:eastAsia="黑体" w:cs="黑体"/>
          <w:b/>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hint="eastAsia" w:eastAsia="黑体"/>
          <w:bCs/>
          <w:kern w:val="0"/>
          <w:sz w:val="32"/>
          <w:szCs w:val="32"/>
        </w:rPr>
        <w:t>一、</w:t>
      </w:r>
      <w:r>
        <w:rPr>
          <w:rFonts w:eastAsia="黑体"/>
          <w:bCs/>
          <w:kern w:val="0"/>
          <w:sz w:val="32"/>
          <w:szCs w:val="32"/>
        </w:rPr>
        <w:t>部门基本概况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jc w:val="left"/>
        <w:textAlignment w:val="auto"/>
        <w:rPr>
          <w:rFonts w:ascii="仿宋" w:hAnsi="仿宋" w:eastAsia="仿宋" w:cs="仿宋"/>
          <w:b/>
          <w:sz w:val="32"/>
          <w:szCs w:val="32"/>
        </w:rPr>
      </w:pPr>
      <w:r>
        <w:rPr>
          <w:rFonts w:hint="eastAsia" w:ascii="仿宋" w:hAnsi="仿宋" w:eastAsia="仿宋" w:cs="仿宋"/>
          <w:b/>
          <w:sz w:val="32"/>
          <w:szCs w:val="32"/>
        </w:rPr>
        <w:t>（一）职能职责。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此项内容涉密，依法不予以公开。</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firstLine="645"/>
        <w:jc w:val="left"/>
        <w:textAlignment w:val="auto"/>
        <w:rPr>
          <w:rFonts w:ascii="仿宋" w:hAnsi="仿宋" w:eastAsia="仿宋" w:cs="仿宋"/>
          <w:b/>
          <w:sz w:val="32"/>
          <w:szCs w:val="32"/>
        </w:rPr>
      </w:pPr>
      <w:r>
        <w:rPr>
          <w:rFonts w:hint="eastAsia" w:ascii="仿宋" w:hAnsi="仿宋" w:eastAsia="仿宋" w:cs="仿宋"/>
          <w:b/>
          <w:sz w:val="32"/>
          <w:szCs w:val="32"/>
        </w:rPr>
        <w:t>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此项内容涉密，依法不予以公开。</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kern w:val="0"/>
          <w:sz w:val="32"/>
          <w:szCs w:val="32"/>
        </w:rPr>
      </w:pPr>
      <w:r>
        <w:rPr>
          <w:rFonts w:eastAsia="黑体"/>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中共长沙市开福区委宣传部（以下简称区委宣传部）只有本级，没有其他二级预算单位，因此，纳入2021年部门预算编制范围的只有区委宣传部本级。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hint="eastAsia" w:eastAsia="黑体"/>
          <w:bCs/>
          <w:kern w:val="0"/>
          <w:sz w:val="32"/>
          <w:szCs w:val="32"/>
        </w:rPr>
        <w:t>三、</w:t>
      </w:r>
      <w:r>
        <w:rPr>
          <w:rFonts w:eastAsia="黑体"/>
          <w:bCs/>
          <w:kern w:val="0"/>
          <w:sz w:val="32"/>
          <w:szCs w:val="32"/>
        </w:rPr>
        <w:t>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（一）收入预算：</w:t>
      </w:r>
      <w:r>
        <w:rPr>
          <w:rFonts w:hint="eastAsia" w:ascii="仿宋" w:hAnsi="仿宋" w:eastAsia="仿宋" w:cs="仿宋"/>
          <w:color w:val="auto"/>
          <w:sz w:val="32"/>
          <w:szCs w:val="32"/>
          <w:highlight w:val="none"/>
        </w:rPr>
        <w:t>包括一般公共预算、政府性基金、国有资本经营预算等财政拨款收入，以及经营收入、事业收入等单位资金。</w:t>
      </w:r>
      <w:r>
        <w:rPr>
          <w:rFonts w:hint="eastAsia" w:ascii="仿宋" w:hAnsi="仿宋" w:eastAsia="仿宋" w:cs="仿宋"/>
          <w:sz w:val="32"/>
          <w:szCs w:val="32"/>
          <w:highlight w:val="none"/>
        </w:rPr>
        <w:t>2021年本部</w:t>
      </w:r>
      <w:r>
        <w:rPr>
          <w:rFonts w:hint="eastAsia" w:ascii="仿宋" w:hAnsi="仿宋" w:eastAsia="仿宋" w:cs="仿宋"/>
          <w:sz w:val="32"/>
          <w:szCs w:val="32"/>
        </w:rPr>
        <w:t>门收入预算2619.65万元，其中，一般公共预算拨款2619.65万元，政府性基金预算拨款0万元，国有资本经营预算拨款0万元，纳入专户管理的非税收入0万元。收入较去年增加121.97万元，上升4.88%，主要原因是新增专职志愿者相关工作等。</w:t>
      </w:r>
    </w:p>
    <w:p>
      <w:pPr>
        <w:keepNext w:val="0"/>
        <w:keepLines w:val="0"/>
        <w:pageBreakBefore w:val="0"/>
        <w:widowControl/>
        <w:kinsoku/>
        <w:wordWrap/>
        <w:overflowPunct/>
        <w:topLinePunct w:val="0"/>
        <w:autoSpaceDE/>
        <w:autoSpaceDN/>
        <w:bidi w:val="0"/>
        <w:adjustRightInd/>
        <w:snapToGrid/>
        <w:spacing w:line="600" w:lineRule="exact"/>
        <w:ind w:firstLine="645"/>
        <w:textAlignment w:val="auto"/>
        <w:rPr>
          <w:rFonts w:ascii="仿宋" w:hAnsi="仿宋" w:eastAsia="仿宋" w:cs="仿宋"/>
          <w:sz w:val="32"/>
          <w:szCs w:val="32"/>
        </w:rPr>
      </w:pPr>
      <w:r>
        <w:rPr>
          <w:rFonts w:hint="eastAsia" w:ascii="仿宋" w:hAnsi="仿宋" w:eastAsia="仿宋" w:cs="仿宋"/>
          <w:b/>
          <w:sz w:val="32"/>
          <w:szCs w:val="32"/>
        </w:rPr>
        <w:t>（二）支出预算：</w:t>
      </w:r>
      <w:r>
        <w:rPr>
          <w:rFonts w:hint="eastAsia" w:ascii="仿宋" w:hAnsi="仿宋" w:eastAsia="仿宋" w:cs="仿宋"/>
          <w:sz w:val="32"/>
          <w:szCs w:val="32"/>
        </w:rPr>
        <w:t>2021年支出预算数2619.65万元，其中，一般公共服务2554.73万元，社会保障和就业支出21.5万元，文化体育与传媒支出5万元，住房保障支出38.42万元。支出较去年增加121.97万元，上升4.88%，主要原因是新增专职志愿者相关工作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sz w:val="32"/>
          <w:szCs w:val="32"/>
        </w:rPr>
      </w:pPr>
      <w:r>
        <w:rPr>
          <w:rFonts w:eastAsia="黑体"/>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hint="eastAsia" w:ascii="仿宋" w:hAnsi="仿宋" w:eastAsia="仿宋" w:cs="仿宋"/>
          <w:color w:val="auto"/>
          <w:sz w:val="32"/>
          <w:szCs w:val="32"/>
          <w:highlight w:val="none"/>
        </w:rPr>
        <w:t>2021年本部门一般公共预算拨款支出预算2619.65万元，其中，一般公共服务支出2554.73万元，占97.52 %；</w:t>
      </w:r>
      <w:r>
        <w:rPr>
          <w:rFonts w:hint="eastAsia" w:ascii="仿宋" w:hAnsi="仿宋" w:eastAsia="仿宋"/>
          <w:color w:val="auto"/>
          <w:sz w:val="32"/>
          <w:szCs w:val="32"/>
          <w:highlight w:val="none"/>
        </w:rPr>
        <w:t>文化体育与传媒支出5</w:t>
      </w:r>
      <w:r>
        <w:rPr>
          <w:rFonts w:hint="eastAsia" w:ascii="仿宋" w:hAnsi="仿宋" w:eastAsia="仿宋" w:cs="仿宋"/>
          <w:color w:val="auto"/>
          <w:sz w:val="32"/>
          <w:szCs w:val="32"/>
          <w:highlight w:val="none"/>
        </w:rPr>
        <w:t>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t>占</w:t>
      </w:r>
      <w:r>
        <w:rPr>
          <w:rFonts w:hint="eastAsia" w:ascii="仿宋" w:hAnsi="仿宋" w:eastAsia="仿宋"/>
          <w:color w:val="auto"/>
          <w:sz w:val="32"/>
          <w:szCs w:val="32"/>
          <w:highlight w:val="none"/>
        </w:rPr>
        <w:t>0.19%；社会保障和就业支出21.50万元，</w:t>
      </w:r>
      <w:r>
        <w:rPr>
          <w:rFonts w:ascii="仿宋" w:hAnsi="仿宋" w:eastAsia="仿宋"/>
          <w:color w:val="auto"/>
          <w:sz w:val="32"/>
          <w:szCs w:val="32"/>
          <w:highlight w:val="none"/>
        </w:rPr>
        <w:t>占</w:t>
      </w:r>
      <w:r>
        <w:rPr>
          <w:rFonts w:hint="eastAsia" w:ascii="仿宋" w:hAnsi="仿宋" w:eastAsia="仿宋"/>
          <w:color w:val="auto"/>
          <w:sz w:val="32"/>
          <w:szCs w:val="32"/>
          <w:highlight w:val="none"/>
        </w:rPr>
        <w:t>0.82%</w:t>
      </w:r>
      <w:r>
        <w:rPr>
          <w:rFonts w:ascii="仿宋" w:hAnsi="仿宋" w:eastAsia="仿宋"/>
          <w:color w:val="auto"/>
          <w:sz w:val="32"/>
          <w:szCs w:val="32"/>
          <w:highlight w:val="none"/>
        </w:rPr>
        <w:t>；</w:t>
      </w:r>
      <w:r>
        <w:rPr>
          <w:rFonts w:hint="eastAsia" w:ascii="仿宋" w:hAnsi="仿宋" w:eastAsia="仿宋"/>
          <w:color w:val="auto"/>
          <w:sz w:val="32"/>
          <w:szCs w:val="32"/>
          <w:highlight w:val="none"/>
        </w:rPr>
        <w:t>住房保障支出38.42万元，</w:t>
      </w:r>
      <w:r>
        <w:rPr>
          <w:rFonts w:ascii="仿宋" w:hAnsi="仿宋" w:eastAsia="仿宋"/>
          <w:color w:val="auto"/>
          <w:sz w:val="32"/>
          <w:szCs w:val="32"/>
          <w:highlight w:val="none"/>
        </w:rPr>
        <w:t>占</w:t>
      </w:r>
      <w:r>
        <w:rPr>
          <w:rFonts w:hint="eastAsia" w:ascii="仿宋" w:hAnsi="仿宋" w:eastAsia="仿宋"/>
          <w:color w:val="auto"/>
          <w:sz w:val="32"/>
          <w:szCs w:val="32"/>
          <w:highlight w:val="none"/>
        </w:rPr>
        <w:t>1.47%。</w:t>
      </w:r>
      <w:r>
        <w:rPr>
          <w:rFonts w:hint="eastAsia" w:ascii="仿宋" w:hAnsi="仿宋" w:eastAsia="仿宋" w:cs="仿宋"/>
          <w:color w:val="auto"/>
          <w:sz w:val="32"/>
          <w:szCs w:val="32"/>
          <w:highlight w:val="none"/>
        </w:rPr>
        <w:t>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（一）基本支出：</w:t>
      </w:r>
      <w:r>
        <w:rPr>
          <w:rFonts w:hint="eastAsia" w:ascii="仿宋" w:hAnsi="仿宋" w:eastAsia="仿宋" w:cs="仿宋"/>
          <w:bCs/>
          <w:sz w:val="32"/>
          <w:szCs w:val="32"/>
        </w:rPr>
        <w:t>2021</w:t>
      </w:r>
      <w:r>
        <w:rPr>
          <w:rFonts w:hint="eastAsia" w:ascii="仿宋" w:hAnsi="仿宋" w:eastAsia="仿宋" w:cs="仿宋"/>
          <w:sz w:val="32"/>
          <w:szCs w:val="32"/>
        </w:rPr>
        <w:t>年本部门基本支出预算数601.65万元，是指为保障单位机构正常运转、完成日常工作任务而发生的各项支出，包括用于基本工资、津贴补贴等人员经费以及办公费、印刷费、水电费、办公设备购置等日常公用经费。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highlight w:val="none"/>
        </w:rPr>
      </w:pPr>
      <w:r>
        <w:rPr>
          <w:rFonts w:hint="eastAsia" w:ascii="仿宋" w:hAnsi="仿宋" w:eastAsia="仿宋" w:cs="仿宋"/>
          <w:b/>
          <w:sz w:val="32"/>
          <w:szCs w:val="32"/>
        </w:rPr>
        <w:t>（二）项目支出：</w:t>
      </w:r>
      <w:r>
        <w:rPr>
          <w:rFonts w:hint="eastAsia" w:ascii="仿宋" w:hAnsi="仿宋" w:eastAsia="仿宋" w:cs="仿宋"/>
          <w:sz w:val="32"/>
          <w:szCs w:val="32"/>
        </w:rPr>
        <w:t>2021年本部门项目支出预算2018万元，是指单位为完成特定行政工作任务或事业发展目标而发生的支出。包括有关事业发展专项、专项业务费、基本建设支出等。其中：公益电影放映支出3万元，未成年人思想道德建设经费支出9.5万元，文化产业办工作经费支出14万元，礼遇帮扶各级好人经费支出11万元，宣传文化及文明创建经费支出1560万元，舆论导向经费支出28.5万元，党报党刊征订经费支出332万元，理论教育及中心组学习经费支出24万元，农家书屋工作经费支出17万元，社科联文联工作经费支出14万元，新闻出版经费支出5万元，</w:t>
      </w:r>
      <w:r>
        <w:rPr>
          <w:rFonts w:hint="eastAsia" w:ascii="仿宋" w:hAnsi="仿宋" w:eastAsia="仿宋" w:cs="仿宋"/>
          <w:sz w:val="32"/>
          <w:szCs w:val="32"/>
          <w:highlight w:val="none"/>
        </w:rPr>
        <w:t xml:space="preserve">主要用于文明创建、新闻宣传、理论教育、文艺事业、文化产业、新闻出版等工作。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color w:val="auto"/>
          <w:sz w:val="32"/>
          <w:szCs w:val="32"/>
          <w:highlight w:val="none"/>
        </w:rPr>
      </w:pPr>
      <w:r>
        <w:rPr>
          <w:rFonts w:eastAsia="黑体"/>
          <w:color w:val="auto"/>
          <w:sz w:val="32"/>
          <w:szCs w:val="32"/>
          <w:highlight w:val="none"/>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本部门无政府性基金安排的支出。</w:t>
      </w:r>
    </w:p>
    <w:p>
      <w:pPr>
        <w:keepNext w:val="0"/>
        <w:keepLines w:val="0"/>
        <w:pageBreakBefore w:val="0"/>
        <w:widowControl/>
        <w:numPr>
          <w:ilvl w:val="0"/>
          <w:numId w:val="4"/>
        </w:numPr>
        <w:kinsoku/>
        <w:wordWrap/>
        <w:overflowPunct/>
        <w:topLinePunct w:val="0"/>
        <w:autoSpaceDE/>
        <w:autoSpaceDN/>
        <w:bidi w:val="0"/>
        <w:adjustRightInd/>
        <w:snapToGrid/>
        <w:spacing w:line="600" w:lineRule="exact"/>
        <w:ind w:firstLine="640" w:firstLineChars="200"/>
        <w:textAlignment w:val="auto"/>
        <w:rPr>
          <w:rFonts w:eastAsia="黑体"/>
          <w:sz w:val="32"/>
          <w:szCs w:val="32"/>
        </w:rPr>
      </w:pPr>
      <w:r>
        <w:rPr>
          <w:rFonts w:eastAsia="黑体"/>
          <w:sz w:val="32"/>
          <w:szCs w:val="32"/>
        </w:rPr>
        <w:t>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（一）机关运行经费：</w:t>
      </w:r>
      <w:r>
        <w:rPr>
          <w:rFonts w:hint="eastAsia" w:ascii="仿宋" w:hAnsi="仿宋" w:eastAsia="仿宋" w:cs="仿宋"/>
          <w:sz w:val="32"/>
          <w:szCs w:val="32"/>
        </w:rPr>
        <w:t>2021年区委宣传部机关运行经费财政拨款预算51.59万元，比2020年预算增加5.99万元，增长13.14%，主要原因是办公经费、会议费等有所增加。</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highlight w:val="none"/>
        </w:rPr>
      </w:pPr>
      <w:r>
        <w:rPr>
          <w:rFonts w:hint="eastAsia" w:ascii="仿宋" w:hAnsi="仿宋" w:eastAsia="仿宋" w:cs="仿宋"/>
          <w:b/>
          <w:sz w:val="32"/>
          <w:szCs w:val="32"/>
        </w:rPr>
        <w:t>（二）“三公”经费预算：</w:t>
      </w:r>
      <w:r>
        <w:rPr>
          <w:rFonts w:hint="eastAsia" w:ascii="仿宋" w:hAnsi="仿宋" w:eastAsia="仿宋" w:cs="仿宋"/>
          <w:sz w:val="32"/>
          <w:szCs w:val="32"/>
        </w:rPr>
        <w:t>2021年区委宣传部“三公”经费预算数为1万元，其中，公务接待费1万元，因公出国（境）费0万元，公务用车购置及运行费0万元（其中，公务用车购置费0万元，公务用车运行费0万元），因公出国（境）费0万元。2021年“三公”经费预算较2020年持平，</w:t>
      </w:r>
      <w:r>
        <w:rPr>
          <w:rFonts w:hint="eastAsia" w:ascii="仿宋" w:hAnsi="仿宋" w:eastAsia="仿宋" w:cs="仿宋"/>
          <w:sz w:val="32"/>
          <w:szCs w:val="32"/>
          <w:highlight w:val="none"/>
        </w:rPr>
        <w:t>主要是</w:t>
      </w:r>
      <w:r>
        <w:rPr>
          <w:rFonts w:hint="eastAsia" w:ascii="仿宋" w:hAnsi="仿宋" w:eastAsia="仿宋" w:cs="仿宋"/>
          <w:sz w:val="32"/>
          <w:szCs w:val="32"/>
          <w:highlight w:val="none"/>
          <w:lang w:eastAsia="zh-CN"/>
        </w:rPr>
        <w:t>坚持过紧日子的要求</w:t>
      </w:r>
      <w:r>
        <w:rPr>
          <w:rFonts w:hint="eastAsia" w:ascii="仿宋" w:hAnsi="仿宋" w:eastAsia="仿宋" w:cs="仿宋"/>
          <w:sz w:val="32"/>
          <w:szCs w:val="32"/>
          <w:highlight w:val="none"/>
        </w:rPr>
        <w:t>。</w:t>
      </w:r>
    </w:p>
    <w:p>
      <w:pPr>
        <w:keepNext w:val="0"/>
        <w:keepLines w:val="0"/>
        <w:pageBreakBefore w:val="0"/>
        <w:widowControl/>
        <w:kinsoku/>
        <w:wordWrap/>
        <w:overflowPunct/>
        <w:topLinePunct w:val="0"/>
        <w:autoSpaceDE/>
        <w:autoSpaceDN/>
        <w:bidi w:val="0"/>
        <w:adjustRightInd/>
        <w:snapToGrid/>
        <w:spacing w:line="600" w:lineRule="exact"/>
        <w:ind w:firstLine="658"/>
        <w:textAlignment w:val="auto"/>
        <w:rPr>
          <w:rFonts w:hint="eastAsia" w:ascii="仿宋" w:hAnsi="仿宋" w:eastAsia="仿宋" w:cs="仿宋"/>
          <w:kern w:val="0"/>
          <w:sz w:val="32"/>
          <w:szCs w:val="32"/>
          <w:highlight w:val="none"/>
          <w:u w:val="none"/>
          <w:lang w:eastAsia="zh-CN"/>
        </w:rPr>
      </w:pPr>
      <w:r>
        <w:rPr>
          <w:rFonts w:hint="eastAsia" w:ascii="仿宋" w:hAnsi="仿宋" w:eastAsia="仿宋" w:cs="仿宋"/>
          <w:b/>
          <w:sz w:val="32"/>
          <w:szCs w:val="32"/>
          <w:highlight w:val="none"/>
          <w:u w:val="none"/>
        </w:rPr>
        <w:t>（三）一般性支出情况：2021</w:t>
      </w:r>
      <w:r>
        <w:rPr>
          <w:rFonts w:hint="eastAsia" w:ascii="仿宋" w:hAnsi="仿宋" w:eastAsia="仿宋" w:cs="仿宋"/>
          <w:kern w:val="0"/>
          <w:sz w:val="32"/>
          <w:szCs w:val="32"/>
          <w:highlight w:val="none"/>
          <w:u w:val="none"/>
        </w:rPr>
        <w:t>年本部门会议费预算</w:t>
      </w:r>
      <w:r>
        <w:rPr>
          <w:rFonts w:hint="eastAsia" w:ascii="仿宋" w:hAnsi="仿宋" w:eastAsia="仿宋" w:cs="仿宋"/>
          <w:sz w:val="32"/>
          <w:szCs w:val="32"/>
          <w:highlight w:val="none"/>
          <w:u w:val="none"/>
          <w:lang w:val="en-US" w:eastAsia="zh-CN"/>
        </w:rPr>
        <w:t>2</w:t>
      </w:r>
      <w:r>
        <w:rPr>
          <w:rFonts w:hint="eastAsia" w:ascii="仿宋" w:hAnsi="仿宋" w:eastAsia="仿宋" w:cs="仿宋"/>
          <w:kern w:val="0"/>
          <w:sz w:val="32"/>
          <w:szCs w:val="32"/>
          <w:highlight w:val="none"/>
          <w:u w:val="none"/>
        </w:rPr>
        <w:t>万元，拟召开</w:t>
      </w:r>
      <w:r>
        <w:rPr>
          <w:rFonts w:hint="eastAsia" w:ascii="仿宋" w:hAnsi="仿宋" w:eastAsia="仿宋" w:cs="仿宋"/>
          <w:sz w:val="32"/>
          <w:szCs w:val="32"/>
          <w:highlight w:val="none"/>
          <w:u w:val="none"/>
          <w:lang w:val="en-US" w:eastAsia="zh-CN"/>
        </w:rPr>
        <w:t>1</w:t>
      </w:r>
      <w:r>
        <w:rPr>
          <w:rFonts w:hint="eastAsia" w:ascii="仿宋" w:hAnsi="仿宋" w:eastAsia="仿宋" w:cs="仿宋"/>
          <w:kern w:val="0"/>
          <w:sz w:val="32"/>
          <w:szCs w:val="32"/>
          <w:highlight w:val="none"/>
          <w:u w:val="none"/>
        </w:rPr>
        <w:t>会议，人数</w:t>
      </w:r>
      <w:r>
        <w:rPr>
          <w:rFonts w:hint="eastAsia" w:ascii="仿宋" w:hAnsi="仿宋" w:eastAsia="仿宋" w:cs="仿宋"/>
          <w:sz w:val="32"/>
          <w:szCs w:val="32"/>
          <w:highlight w:val="none"/>
          <w:u w:val="none"/>
          <w:lang w:val="en-US" w:eastAsia="zh-CN"/>
        </w:rPr>
        <w:t>100</w:t>
      </w:r>
      <w:r>
        <w:rPr>
          <w:rFonts w:hint="eastAsia" w:ascii="仿宋" w:hAnsi="仿宋" w:eastAsia="仿宋" w:cs="仿宋"/>
          <w:kern w:val="0"/>
          <w:sz w:val="32"/>
          <w:szCs w:val="32"/>
          <w:highlight w:val="none"/>
          <w:u w:val="none"/>
        </w:rPr>
        <w:t>人，内容为</w:t>
      </w:r>
      <w:r>
        <w:rPr>
          <w:rFonts w:hint="eastAsia" w:ascii="仿宋" w:hAnsi="仿宋" w:eastAsia="仿宋" w:cs="仿宋"/>
          <w:kern w:val="0"/>
          <w:sz w:val="32"/>
          <w:szCs w:val="32"/>
          <w:highlight w:val="none"/>
          <w:u w:val="none"/>
          <w:lang w:eastAsia="zh-CN"/>
        </w:rPr>
        <w:t>宣传思想文化工作部署会</w:t>
      </w:r>
      <w:r>
        <w:rPr>
          <w:rFonts w:hint="eastAsia" w:ascii="仿宋" w:hAnsi="仿宋" w:eastAsia="仿宋" w:cs="仿宋"/>
          <w:kern w:val="0"/>
          <w:sz w:val="32"/>
          <w:szCs w:val="32"/>
          <w:highlight w:val="none"/>
          <w:u w:val="none"/>
        </w:rPr>
        <w:t>；培训费预算</w:t>
      </w:r>
      <w:r>
        <w:rPr>
          <w:rFonts w:hint="eastAsia" w:ascii="仿宋" w:hAnsi="仿宋" w:eastAsia="仿宋" w:cs="仿宋"/>
          <w:sz w:val="32"/>
          <w:szCs w:val="32"/>
          <w:highlight w:val="none"/>
          <w:u w:val="none"/>
        </w:rPr>
        <w:t xml:space="preserve"> </w:t>
      </w:r>
      <w:r>
        <w:rPr>
          <w:rFonts w:hint="eastAsia" w:ascii="仿宋" w:hAnsi="仿宋" w:eastAsia="仿宋" w:cs="仿宋"/>
          <w:sz w:val="32"/>
          <w:szCs w:val="32"/>
          <w:highlight w:val="none"/>
          <w:u w:val="none"/>
          <w:lang w:val="en-US" w:eastAsia="zh-CN"/>
        </w:rPr>
        <w:t>2</w:t>
      </w:r>
      <w:r>
        <w:rPr>
          <w:rFonts w:hint="eastAsia" w:ascii="仿宋" w:hAnsi="仿宋" w:eastAsia="仿宋" w:cs="仿宋"/>
          <w:kern w:val="0"/>
          <w:sz w:val="32"/>
          <w:szCs w:val="32"/>
          <w:highlight w:val="none"/>
          <w:u w:val="none"/>
        </w:rPr>
        <w:t>万元，拟开展</w:t>
      </w:r>
      <w:r>
        <w:rPr>
          <w:rFonts w:hint="eastAsia" w:ascii="仿宋" w:hAnsi="仿宋" w:eastAsia="仿宋" w:cs="仿宋"/>
          <w:sz w:val="32"/>
          <w:szCs w:val="32"/>
          <w:highlight w:val="none"/>
          <w:u w:val="none"/>
          <w:lang w:val="en-US" w:eastAsia="zh-CN"/>
        </w:rPr>
        <w:t>1个</w:t>
      </w:r>
      <w:r>
        <w:rPr>
          <w:rFonts w:hint="eastAsia" w:ascii="仿宋" w:hAnsi="仿宋" w:eastAsia="仿宋" w:cs="仿宋"/>
          <w:kern w:val="0"/>
          <w:sz w:val="32"/>
          <w:szCs w:val="32"/>
          <w:highlight w:val="none"/>
          <w:u w:val="none"/>
        </w:rPr>
        <w:t>培训，人数</w:t>
      </w:r>
      <w:r>
        <w:rPr>
          <w:rFonts w:hint="eastAsia" w:ascii="仿宋" w:hAnsi="仿宋" w:eastAsia="仿宋" w:cs="仿宋"/>
          <w:sz w:val="32"/>
          <w:szCs w:val="32"/>
          <w:highlight w:val="none"/>
          <w:u w:val="none"/>
          <w:lang w:val="en-US" w:eastAsia="zh-CN"/>
        </w:rPr>
        <w:t>80</w:t>
      </w:r>
      <w:r>
        <w:rPr>
          <w:rFonts w:hint="eastAsia" w:ascii="仿宋" w:hAnsi="仿宋" w:eastAsia="仿宋" w:cs="仿宋"/>
          <w:kern w:val="0"/>
          <w:sz w:val="32"/>
          <w:szCs w:val="32"/>
          <w:highlight w:val="none"/>
          <w:u w:val="none"/>
        </w:rPr>
        <w:t>人，内容为</w:t>
      </w:r>
      <w:r>
        <w:rPr>
          <w:rFonts w:hint="eastAsia" w:ascii="仿宋" w:hAnsi="仿宋" w:eastAsia="仿宋" w:cs="仿宋"/>
          <w:sz w:val="32"/>
          <w:szCs w:val="32"/>
          <w:highlight w:val="none"/>
          <w:u w:val="none"/>
        </w:rPr>
        <w:t xml:space="preserve"> </w:t>
      </w:r>
      <w:r>
        <w:rPr>
          <w:rFonts w:hint="eastAsia" w:ascii="仿宋" w:hAnsi="仿宋" w:eastAsia="仿宋" w:cs="仿宋"/>
          <w:sz w:val="32"/>
          <w:szCs w:val="32"/>
          <w:highlight w:val="none"/>
          <w:u w:val="none"/>
          <w:lang w:eastAsia="zh-CN"/>
        </w:rPr>
        <w:t>意识形态工作培训</w:t>
      </w:r>
      <w:r>
        <w:rPr>
          <w:rFonts w:hint="eastAsia" w:ascii="仿宋" w:hAnsi="仿宋" w:eastAsia="仿宋" w:cs="仿宋"/>
          <w:sz w:val="32"/>
          <w:szCs w:val="32"/>
          <w:highlight w:val="none"/>
          <w:u w:val="none"/>
        </w:rPr>
        <w:t xml:space="preserve"> </w:t>
      </w:r>
      <w:r>
        <w:rPr>
          <w:rFonts w:hint="eastAsia" w:ascii="仿宋" w:hAnsi="仿宋" w:eastAsia="仿宋" w:cs="仿宋"/>
          <w:sz w:val="32"/>
          <w:szCs w:val="32"/>
          <w:highlight w:val="none"/>
          <w:u w:val="none"/>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58"/>
        <w:textAlignment w:val="auto"/>
        <w:rPr>
          <w:rFonts w:ascii="仿宋" w:hAnsi="仿宋" w:eastAsia="仿宋" w:cs="仿宋"/>
          <w:kern w:val="0"/>
          <w:sz w:val="32"/>
          <w:szCs w:val="32"/>
          <w:highlight w:val="yellow"/>
        </w:rPr>
      </w:pPr>
    </w:p>
    <w:p>
      <w:pPr>
        <w:keepNext w:val="0"/>
        <w:keepLines w:val="0"/>
        <w:pageBreakBefore w:val="0"/>
        <w:widowControl/>
        <w:kinsoku/>
        <w:wordWrap/>
        <w:overflowPunct/>
        <w:topLinePunct w:val="0"/>
        <w:autoSpaceDE/>
        <w:autoSpaceDN/>
        <w:bidi w:val="0"/>
        <w:adjustRightInd/>
        <w:snapToGrid/>
        <w:spacing w:line="600" w:lineRule="exact"/>
        <w:ind w:firstLine="658"/>
        <w:textAlignment w:val="auto"/>
        <w:rPr>
          <w:rFonts w:ascii="仿宋" w:hAnsi="仿宋" w:eastAsia="仿宋" w:cs="仿宋"/>
          <w:sz w:val="32"/>
          <w:szCs w:val="32"/>
        </w:rPr>
      </w:pPr>
      <w:r>
        <w:rPr>
          <w:rFonts w:hint="eastAsia" w:ascii="仿宋" w:hAnsi="仿宋" w:eastAsia="仿宋" w:cs="仿宋"/>
          <w:b/>
          <w:sz w:val="32"/>
          <w:szCs w:val="32"/>
        </w:rPr>
        <w:t>（四）政府采购情况：</w:t>
      </w:r>
      <w:r>
        <w:rPr>
          <w:rFonts w:hint="eastAsia" w:ascii="仿宋" w:hAnsi="仿宋" w:eastAsia="仿宋" w:cs="仿宋"/>
          <w:sz w:val="32"/>
          <w:szCs w:val="32"/>
        </w:rPr>
        <w:t>2021年区委宣传部政府采购预算总额660万元，其中：政府采购货物预算330万元、政府采购工程预算0万元、政府采购服务预算330万元。</w:t>
      </w:r>
    </w:p>
    <w:p>
      <w:pPr>
        <w:keepNext w:val="0"/>
        <w:keepLines w:val="0"/>
        <w:pageBreakBefore w:val="0"/>
        <w:widowControl/>
        <w:numPr>
          <w:ilvl w:val="0"/>
          <w:numId w:val="5"/>
        </w:numPr>
        <w:kinsoku/>
        <w:wordWrap/>
        <w:overflowPunct/>
        <w:topLinePunct w:val="0"/>
        <w:autoSpaceDE/>
        <w:autoSpaceDN/>
        <w:bidi w:val="0"/>
        <w:adjustRightInd/>
        <w:snapToGrid/>
        <w:spacing w:line="600" w:lineRule="exact"/>
        <w:ind w:firstLine="658"/>
        <w:textAlignment w:val="auto"/>
        <w:rPr>
          <w:rFonts w:ascii="仿宋" w:hAnsi="仿宋" w:eastAsia="仿宋" w:cs="仿宋"/>
          <w:bCs/>
          <w:color w:val="auto"/>
          <w:kern w:val="0"/>
          <w:sz w:val="32"/>
          <w:szCs w:val="32"/>
          <w:highlight w:val="none"/>
        </w:rPr>
      </w:pPr>
      <w:r>
        <w:rPr>
          <w:rFonts w:hint="eastAsia" w:ascii="仿宋" w:hAnsi="仿宋" w:eastAsia="仿宋" w:cs="仿宋"/>
          <w:b/>
          <w:color w:val="auto"/>
          <w:sz w:val="32"/>
          <w:szCs w:val="32"/>
          <w:highlight w:val="none"/>
        </w:rPr>
        <w:t>国有资产占用使用及新增资产配置情况：</w:t>
      </w:r>
      <w:r>
        <w:rPr>
          <w:rFonts w:hint="eastAsia" w:ascii="仿宋" w:hAnsi="仿宋" w:eastAsia="仿宋" w:cs="仿宋"/>
          <w:color w:val="auto"/>
          <w:sz w:val="32"/>
          <w:szCs w:val="32"/>
          <w:highlight w:val="none"/>
        </w:rPr>
        <w:t>截至2020年12月底，本部门</w:t>
      </w:r>
      <w:r>
        <w:rPr>
          <w:rFonts w:hint="eastAsia" w:ascii="仿宋" w:hAnsi="仿宋" w:eastAsia="仿宋" w:cs="仿宋"/>
          <w:bCs/>
          <w:color w:val="auto"/>
          <w:kern w:val="0"/>
          <w:sz w:val="32"/>
          <w:szCs w:val="32"/>
          <w:highlight w:val="none"/>
        </w:rPr>
        <w:t>共有公务用车0辆，其中，机要通信用车0辆，应急保障用车0辆，执法执勤用车0辆，特种专业技术用车0辆，其他按照规定配备的公务用车0辆；单位价值50万元以上通用设备0台，单位价值100万元以上专用设备0台。2021年拟新增配置公务用车0辆，其中，机要通信用车0辆，应急保障用车0辆，执法执勤用车0辆，特种专业技术用车0辆，其他按照规定配备的公务用车0辆；新增配备单位价值50万元以上通用设备0台，单位价值100万元以上专用设备0台。</w:t>
      </w:r>
    </w:p>
    <w:p>
      <w:pPr>
        <w:keepNext w:val="0"/>
        <w:keepLines w:val="0"/>
        <w:pageBreakBefore w:val="0"/>
        <w:widowControl/>
        <w:kinsoku/>
        <w:wordWrap/>
        <w:overflowPunct/>
        <w:topLinePunct w:val="0"/>
        <w:autoSpaceDE/>
        <w:autoSpaceDN/>
        <w:bidi w:val="0"/>
        <w:adjustRightInd/>
        <w:snapToGrid/>
        <w:spacing w:line="600" w:lineRule="exact"/>
        <w:ind w:firstLine="658"/>
        <w:textAlignment w:val="auto"/>
        <w:rPr>
          <w:rFonts w:ascii="仿宋" w:hAnsi="仿宋" w:eastAsia="仿宋" w:cs="仿宋"/>
          <w:bCs/>
          <w:kern w:val="0"/>
          <w:sz w:val="32"/>
          <w:szCs w:val="32"/>
        </w:rPr>
      </w:pPr>
      <w:r>
        <w:rPr>
          <w:rFonts w:hint="eastAsia" w:ascii="仿宋" w:hAnsi="仿宋" w:eastAsia="仿宋" w:cs="仿宋"/>
          <w:b/>
          <w:bCs/>
          <w:kern w:val="0"/>
          <w:sz w:val="32"/>
          <w:szCs w:val="32"/>
        </w:rPr>
        <w:t>（六）预算绩效目标说明：</w:t>
      </w:r>
      <w:r>
        <w:rPr>
          <w:rFonts w:hint="eastAsia" w:ascii="仿宋" w:hAnsi="仿宋" w:eastAsia="仿宋" w:cs="仿宋"/>
          <w:sz w:val="32"/>
          <w:szCs w:val="32"/>
        </w:rPr>
        <w:t>按照预算绩效管</w:t>
      </w:r>
      <w:bookmarkStart w:id="0" w:name="_GoBack"/>
      <w:bookmarkEnd w:id="0"/>
      <w:r>
        <w:rPr>
          <w:rFonts w:hint="eastAsia" w:ascii="仿宋" w:hAnsi="仿宋" w:eastAsia="仿宋" w:cs="仿宋"/>
          <w:sz w:val="32"/>
          <w:szCs w:val="32"/>
        </w:rPr>
        <w:t>理工作的总体要求，2021年开福区委宣传部整体支出绩效目标2619.65万元，其中基本支出601.65万元，项目支出2018万元，</w:t>
      </w:r>
      <w:r>
        <w:rPr>
          <w:rFonts w:hint="eastAsia" w:ascii="仿宋" w:hAnsi="仿宋" w:eastAsia="仿宋" w:cs="仿宋"/>
          <w:bCs/>
          <w:kern w:val="0"/>
          <w:sz w:val="32"/>
          <w:szCs w:val="32"/>
        </w:rPr>
        <w:t>具体绩效目标详见报表。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黑体" w:hAnsi="黑体" w:eastAsia="黑体" w:cs="黑体"/>
          <w:b/>
          <w:bCs/>
          <w:sz w:val="32"/>
          <w:szCs w:val="32"/>
        </w:rPr>
      </w:pPr>
      <w:r>
        <w:rPr>
          <w:rFonts w:hint="eastAsia" w:ascii="黑体" w:hAnsi="黑体" w:eastAsia="黑体" w:cs="黑体"/>
          <w:b/>
          <w:bCs/>
          <w:sz w:val="32"/>
          <w:szCs w:val="32"/>
        </w:rPr>
        <w:t>七、名词解释</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1、一般公共预算拨款收入：指开福区财政当年拨付的资金。</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2、基本支出：指为保障机构正常运转、完成日常工作任务而发生的人员支出和公用支出。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4、“三公”经费：纳入开福区财政预决算管理的“三公”经费，是指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5、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kern w:val="0"/>
          <w:sz w:val="36"/>
          <w:szCs w:val="36"/>
        </w:rPr>
      </w:pPr>
      <w:r>
        <w:rPr>
          <w:rFonts w:hint="eastAsia" w:ascii="黑体" w:hAnsi="黑体" w:eastAsia="黑体" w:cs="黑体"/>
          <w:b/>
          <w:kern w:val="0"/>
          <w:sz w:val="44"/>
          <w:szCs w:val="44"/>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p>
    <w:p>
      <w:pPr>
        <w:widowControl/>
        <w:spacing w:line="600" w:lineRule="exact"/>
        <w:ind w:firstLine="660"/>
        <w:rPr>
          <w:rFonts w:ascii="仿宋" w:hAnsi="仿宋" w:eastAsia="仿宋" w:cs="仿宋"/>
          <w:sz w:val="32"/>
          <w:szCs w:val="32"/>
        </w:rPr>
      </w:pPr>
    </w:p>
    <w:p>
      <w:pPr>
        <w:widowControl/>
        <w:spacing w:line="600" w:lineRule="exact"/>
        <w:ind w:firstLine="660"/>
        <w:rPr>
          <w:rFonts w:ascii="仿宋" w:hAnsi="仿宋" w:eastAsia="仿宋" w:cs="仿宋"/>
          <w:sz w:val="32"/>
          <w:szCs w:val="32"/>
        </w:rPr>
      </w:pPr>
    </w:p>
    <w:p>
      <w:pPr>
        <w:widowControl/>
        <w:spacing w:line="600" w:lineRule="exact"/>
        <w:ind w:firstLine="660"/>
        <w:rPr>
          <w:rFonts w:ascii="仿宋" w:hAnsi="仿宋" w:eastAsia="仿宋" w:cs="仿宋"/>
          <w:sz w:val="32"/>
          <w:szCs w:val="32"/>
        </w:rPr>
      </w:pPr>
    </w:p>
    <w:p>
      <w:pPr>
        <w:widowControl/>
        <w:spacing w:line="600" w:lineRule="exact"/>
        <w:ind w:firstLine="660"/>
        <w:rPr>
          <w:rFonts w:ascii="仿宋" w:hAnsi="仿宋" w:eastAsia="仿宋" w:cs="仿宋"/>
          <w:sz w:val="32"/>
          <w:szCs w:val="32"/>
        </w:rPr>
      </w:pPr>
    </w:p>
    <w:p>
      <w:pPr>
        <w:widowControl/>
        <w:spacing w:line="600" w:lineRule="exact"/>
        <w:ind w:firstLine="660"/>
        <w:rPr>
          <w:rFonts w:ascii="仿宋" w:hAnsi="仿宋" w:eastAsia="仿宋" w:cs="仿宋"/>
          <w:sz w:val="32"/>
          <w:szCs w:val="32"/>
        </w:rPr>
      </w:pPr>
    </w:p>
    <w:p>
      <w:pPr>
        <w:widowControl/>
        <w:spacing w:line="600" w:lineRule="exact"/>
        <w:ind w:firstLine="660"/>
        <w:rPr>
          <w:rFonts w:ascii="仿宋" w:hAnsi="仿宋" w:eastAsia="仿宋" w:cs="仿宋"/>
          <w:sz w:val="32"/>
          <w:szCs w:val="32"/>
        </w:rPr>
      </w:pPr>
    </w:p>
    <w:p>
      <w:pPr>
        <w:widowControl/>
        <w:spacing w:line="600" w:lineRule="exact"/>
        <w:ind w:firstLine="660"/>
        <w:rPr>
          <w:rFonts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11C6F9"/>
    <w:multiLevelType w:val="singleLevel"/>
    <w:tmpl w:val="D111C6F9"/>
    <w:lvl w:ilvl="0" w:tentative="0">
      <w:start w:val="5"/>
      <w:numFmt w:val="chineseCounting"/>
      <w:suff w:val="nothing"/>
      <w:lvlText w:val="（%1）"/>
      <w:lvlJc w:val="left"/>
      <w:rPr>
        <w:rFonts w:hint="eastAsia"/>
        <w:b/>
        <w:bCs/>
      </w:rPr>
    </w:lvl>
  </w:abstractNum>
  <w:abstractNum w:abstractNumId="1">
    <w:nsid w:val="D7705C66"/>
    <w:multiLevelType w:val="singleLevel"/>
    <w:tmpl w:val="D7705C66"/>
    <w:lvl w:ilvl="0" w:tentative="0">
      <w:start w:val="1"/>
      <w:numFmt w:val="chineseCounting"/>
      <w:suff w:val="space"/>
      <w:lvlText w:val="第%1部分"/>
      <w:lvlJc w:val="left"/>
      <w:rPr>
        <w:rFonts w:hint="eastAsia"/>
      </w:rPr>
    </w:lvl>
  </w:abstractNum>
  <w:abstractNum w:abstractNumId="2">
    <w:nsid w:val="DE51E2B9"/>
    <w:multiLevelType w:val="singleLevel"/>
    <w:tmpl w:val="DE51E2B9"/>
    <w:lvl w:ilvl="0" w:tentative="0">
      <w:start w:val="2"/>
      <w:numFmt w:val="chineseCounting"/>
      <w:suff w:val="nothing"/>
      <w:lvlText w:val="（%1）"/>
      <w:lvlJc w:val="left"/>
      <w:rPr>
        <w:rFonts w:hint="eastAsia"/>
      </w:rPr>
    </w:lvl>
  </w:abstractNum>
  <w:abstractNum w:abstractNumId="3">
    <w:nsid w:val="19A0957C"/>
    <w:multiLevelType w:val="singleLevel"/>
    <w:tmpl w:val="19A0957C"/>
    <w:lvl w:ilvl="0" w:tentative="0">
      <w:start w:val="1"/>
      <w:numFmt w:val="chineseCounting"/>
      <w:suff w:val="space"/>
      <w:lvlText w:val="第%1部分"/>
      <w:lvlJc w:val="left"/>
      <w:pPr>
        <w:ind w:left="-643"/>
      </w:pPr>
      <w:rPr>
        <w:rFonts w:hint="eastAsia"/>
      </w:rPr>
    </w:lvl>
  </w:abstractNum>
  <w:abstractNum w:abstractNumId="4">
    <w:nsid w:val="6CCFF238"/>
    <w:multiLevelType w:val="singleLevel"/>
    <w:tmpl w:val="6CCFF238"/>
    <w:lvl w:ilvl="0" w:tentative="0">
      <w:start w:val="6"/>
      <w:numFmt w:val="chineseCounting"/>
      <w:suff w:val="nothing"/>
      <w:lvlText w:val="%1、"/>
      <w:lvlJc w:val="left"/>
      <w:rPr>
        <w:rFonts w:hint="eastAsi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iNzI5MGEyM2Y0ZWQyNzE0ODY1NDgxYThkOWVlMWIifQ=="/>
  </w:docVars>
  <w:rsids>
    <w:rsidRoot w:val="00315406"/>
    <w:rsid w:val="000E40B9"/>
    <w:rsid w:val="00127AE0"/>
    <w:rsid w:val="00315406"/>
    <w:rsid w:val="003D3F60"/>
    <w:rsid w:val="004B2E91"/>
    <w:rsid w:val="00843877"/>
    <w:rsid w:val="00A23625"/>
    <w:rsid w:val="00E12993"/>
    <w:rsid w:val="00E33D62"/>
    <w:rsid w:val="00FA1705"/>
    <w:rsid w:val="00FB609E"/>
    <w:rsid w:val="15642906"/>
    <w:rsid w:val="1585042C"/>
    <w:rsid w:val="250112E8"/>
    <w:rsid w:val="261B1A6C"/>
    <w:rsid w:val="280B2A12"/>
    <w:rsid w:val="2AA553B5"/>
    <w:rsid w:val="34A700AC"/>
    <w:rsid w:val="35FE3BB6"/>
    <w:rsid w:val="494320C0"/>
    <w:rsid w:val="58397AE3"/>
    <w:rsid w:val="638D1A9E"/>
    <w:rsid w:val="6AC10C33"/>
    <w:rsid w:val="6BEB7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标题 3 Char"/>
    <w:basedOn w:val="7"/>
    <w:link w:val="2"/>
    <w:qFormat/>
    <w:uiPriority w:val="9"/>
    <w:rPr>
      <w:rFonts w:ascii="宋体" w:hAnsi="宋体" w:eastAsia="宋体" w:cs="宋体"/>
      <w:b/>
      <w:bCs/>
      <w:kern w:val="0"/>
      <w:sz w:val="27"/>
      <w:szCs w:val="27"/>
    </w:rPr>
  </w:style>
  <w:style w:type="character" w:customStyle="1" w:styleId="12">
    <w:name w:val="kf_sj"/>
    <w:basedOn w:val="7"/>
    <w:qFormat/>
    <w:uiPriority w:val="0"/>
  </w:style>
  <w:style w:type="character" w:customStyle="1" w:styleId="13">
    <w:name w:val="kf_ly"/>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2334</Words>
  <Characters>2549</Characters>
  <Lines>19</Lines>
  <Paragraphs>5</Paragraphs>
  <TotalTime>8</TotalTime>
  <ScaleCrop>false</ScaleCrop>
  <LinksUpToDate>false</LinksUpToDate>
  <CharactersWithSpaces>2558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2022-06-28T12:03:00Z</dcterms:created>
  <dc:creator>Administrator</dc:creator>
  <cp:lastModifiedBy>Administrator</cp:lastModifiedBy>
  <dcterms:modified xsi:type="dcterms:W3CDTF">2022-08-19T01:57:44Z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AED15AAB64C44F1F89021632815DCD54</vt:lpwstr>
  </property>
</Properties>
</file>