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b w:val="0"/>
          <w:bCs w:val="0"/>
          <w:i w:val="0"/>
          <w:iCs w:val="0"/>
          <w:caps w:val="0"/>
          <w:color w:val="auto"/>
          <w:spacing w:val="0"/>
          <w:sz w:val="48"/>
          <w:szCs w:val="48"/>
        </w:rPr>
      </w:pPr>
      <w:r>
        <w:rPr>
          <w:rFonts w:hint="eastAsia" w:ascii="黑体" w:hAnsi="黑体" w:eastAsia="黑体" w:cs="黑体"/>
          <w:b w:val="0"/>
          <w:bCs w:val="0"/>
          <w:i w:val="0"/>
          <w:iCs w:val="0"/>
          <w:caps w:val="0"/>
          <w:color w:val="auto"/>
          <w:spacing w:val="0"/>
          <w:sz w:val="48"/>
          <w:szCs w:val="48"/>
        </w:rPr>
        <w:t>2020年度开福区委统战部部门决算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color w:val="auto"/>
          <w:sz w:val="32"/>
          <w:szCs w:val="32"/>
        </w:rPr>
      </w:pPr>
      <w:r>
        <w:rPr>
          <w:rStyle w:val="6"/>
          <w:rFonts w:hint="eastAsia" w:ascii="黑体" w:hAnsi="黑体" w:eastAsia="黑体" w:cs="黑体"/>
          <w:i w:val="0"/>
          <w:iCs w:val="0"/>
          <w:caps w:val="0"/>
          <w:color w:val="auto"/>
          <w:spacing w:val="0"/>
          <w:sz w:val="32"/>
          <w:szCs w:val="32"/>
        </w:rPr>
        <w:t>第一部分 统战部部门概况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7"/>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5"/>
        <w:textAlignment w:val="auto"/>
        <w:rPr>
          <w:rFonts w:hint="eastAsia" w:ascii="仿宋" w:hAnsi="仿宋" w:eastAsia="仿宋" w:cs="仿宋"/>
          <w:color w:val="auto"/>
          <w:sz w:val="32"/>
          <w:szCs w:val="32"/>
        </w:rPr>
      </w:pPr>
      <w:r>
        <w:rPr>
          <w:rFonts w:hint="eastAsia" w:ascii="黑体" w:hAnsi="黑体" w:eastAsia="黑体" w:cs="黑体"/>
          <w:b/>
          <w:bCs/>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 </w:t>
      </w: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72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72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第一部分 统战部部门概况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1.贯彻落实加强党对统一战线工作集中统一领导的要求，发挥区委在统战工作方面的参谋机构、组织协调机构、具体执行机构、督促检查机构作用。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2.协调开展全区统一战线重大理论研究，组织统一战线的重大活动。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3.负责发现、培养党外代表人士，负责党外人士的政治安排，会同有关部门做好安排党外人士担任政府和司法机关及其他单位领导职务的工作。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4.负责联系各民主党派，支持、帮助民主党派加强自身建设，做好支持民主党派履行职责、发挥作用的工作。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5.指导、督促民族宗教工作方针、政策的贯彻落实，协调处理民族宗教工作中的重大问题。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6.统一领导全区海外统战工作。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7.促进非公有制经济健康发展和非公有制经济人士健康成长。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8.负责联系、培养无党派代表人士，支持、帮助无党派人士加强自身建设、发挥作用。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9.统一管理全区侨务工作。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10.统筹协调和指导全区统一战线工作。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本部门由1个行政单位组成，内设办公室、政研室。本部门编制数14人，在职人数16人，其中：在岗人数15人；编外长期聘用人员1 人；离退休人数 5人，其中离休人员0人，退休人员5人。2020年在职新调入3人，新调出1人，新退休1人（一级主任科员退休）。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本单位只有本级，没有其他二级决算单位，因此，纳入2020年部门决算编制范围的只有部门本级。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144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b w:val="0"/>
          <w:bCs w:val="0"/>
          <w:i w:val="0"/>
          <w:iCs w:val="0"/>
          <w:caps w:val="0"/>
          <w:color w:val="auto"/>
          <w:spacing w:val="0"/>
          <w:sz w:val="44"/>
          <w:szCs w:val="44"/>
        </w:rPr>
      </w:pPr>
      <w:r>
        <w:rPr>
          <w:rFonts w:hint="eastAsia" w:ascii="黑体" w:hAnsi="黑体" w:eastAsia="黑体" w:cs="黑体"/>
          <w:b w:val="0"/>
          <w:bCs w:val="0"/>
          <w:i w:val="0"/>
          <w:iCs w:val="0"/>
          <w:caps w:val="0"/>
          <w:color w:val="auto"/>
          <w:spacing w:val="0"/>
          <w:sz w:val="44"/>
          <w:szCs w:val="44"/>
        </w:rPr>
        <w:t>第二部分 2020年部门决算表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ascii="仿宋" w:hAnsi="仿宋" w:eastAsia="仿宋" w:cs="仿宋"/>
          <w:b w:val="0"/>
          <w:bCs w:val="0"/>
          <w:i w:val="0"/>
          <w:iCs w:val="0"/>
          <w:caps w:val="0"/>
          <w:color w:val="auto"/>
          <w:spacing w:val="0"/>
          <w:sz w:val="32"/>
          <w:szCs w:val="32"/>
          <w:lang w:eastAsia="zh-CN"/>
        </w:rPr>
      </w:pPr>
      <w:r>
        <w:rPr>
          <w:rFonts w:hint="eastAsia" w:ascii="仿宋" w:hAnsi="仿宋" w:eastAsia="仿宋" w:cs="仿宋"/>
          <w:b w:val="0"/>
          <w:bCs w:val="0"/>
          <w:i w:val="0"/>
          <w:iCs w:val="0"/>
          <w:caps w:val="0"/>
          <w:color w:val="auto"/>
          <w:spacing w:val="0"/>
          <w:sz w:val="32"/>
          <w:szCs w:val="32"/>
          <w:lang w:eastAsia="zh-CN"/>
        </w:rPr>
        <w:t>（</w:t>
      </w:r>
      <w:r>
        <w:rPr>
          <w:rFonts w:hint="eastAsia" w:ascii="仿宋" w:hAnsi="仿宋" w:eastAsia="仿宋" w:cs="仿宋"/>
          <w:b w:val="0"/>
          <w:bCs w:val="0"/>
          <w:i w:val="0"/>
          <w:iCs w:val="0"/>
          <w:caps w:val="0"/>
          <w:color w:val="auto"/>
          <w:spacing w:val="0"/>
          <w:sz w:val="32"/>
          <w:szCs w:val="32"/>
          <w:lang w:val="en-US" w:eastAsia="zh-CN"/>
        </w:rPr>
        <w:t>详情请见附件</w:t>
      </w:r>
      <w:r>
        <w:rPr>
          <w:rFonts w:hint="eastAsia" w:ascii="仿宋" w:hAnsi="仿宋" w:eastAsia="仿宋" w:cs="仿宋"/>
          <w:b w:val="0"/>
          <w:bCs w:val="0"/>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720"/>
        <w:textAlignment w:val="auto"/>
        <w:rPr>
          <w:rFonts w:hint="eastAsia" w:ascii="黑体" w:hAnsi="黑体" w:eastAsia="黑体" w:cs="黑体"/>
          <w:b w:val="0"/>
          <w:bCs w:val="0"/>
          <w:color w:val="auto"/>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jc w:val="center"/>
        <w:textAlignment w:val="auto"/>
        <w:rPr>
          <w:rFonts w:hint="eastAsia" w:ascii="黑体" w:hAnsi="黑体" w:eastAsia="黑体" w:cs="黑体"/>
          <w:b w:val="0"/>
          <w:bCs w:val="0"/>
          <w:color w:val="auto"/>
          <w:sz w:val="44"/>
          <w:szCs w:val="44"/>
        </w:rPr>
      </w:pPr>
      <w:r>
        <w:rPr>
          <w:rFonts w:hint="eastAsia" w:ascii="黑体" w:hAnsi="黑体" w:eastAsia="黑体" w:cs="黑体"/>
          <w:b w:val="0"/>
          <w:bCs w:val="0"/>
          <w:i w:val="0"/>
          <w:iCs w:val="0"/>
          <w:caps w:val="0"/>
          <w:color w:val="auto"/>
          <w:spacing w:val="0"/>
          <w:sz w:val="44"/>
          <w:szCs w:val="44"/>
        </w:rPr>
        <w:t>第三部分 </w:t>
      </w:r>
      <w:r>
        <w:rPr>
          <w:rStyle w:val="6"/>
          <w:rFonts w:hint="eastAsia" w:ascii="黑体" w:hAnsi="黑体" w:eastAsia="黑体" w:cs="黑体"/>
          <w:b w:val="0"/>
          <w:bCs w:val="0"/>
          <w:i w:val="0"/>
          <w:iCs w:val="0"/>
          <w:caps w:val="0"/>
          <w:color w:val="auto"/>
          <w:spacing w:val="0"/>
          <w:sz w:val="44"/>
          <w:szCs w:val="44"/>
        </w:rPr>
        <w:t>2020</w:t>
      </w:r>
      <w:r>
        <w:rPr>
          <w:rFonts w:hint="eastAsia" w:ascii="黑体" w:hAnsi="黑体" w:eastAsia="黑体" w:cs="黑体"/>
          <w:b w:val="0"/>
          <w:bCs w:val="0"/>
          <w:i w:val="0"/>
          <w:iCs w:val="0"/>
          <w:caps w:val="0"/>
          <w:color w:val="auto"/>
          <w:spacing w:val="0"/>
          <w:sz w:val="44"/>
          <w:szCs w:val="44"/>
        </w:rPr>
        <w:t>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45"/>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2020年度收入总计795.08万元，与2019年相比，增加51.98万元，增加7.00%，主要是因为人员增加以及项目经费增加。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2020年度支出总计795.08万元，与2019年相比，增加51.98万元，增加7.00%，主要是因为根据工作安排相关经费作年底结余处理。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本年收入合计795.08万元，其中：财政拨款收入795.08万元，占100%；上级补助收入0万元，占0%；事业收入0万元，占0%；经营收入0万元，占0%；附属单位上缴收入0万元，占0%；其他收入0万元，占0%。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本年支出合计685.38万元，其中：基本支出474.05万元，占69.17%；项目支出211.33万元，占30.83%；上缴上级支出0万元，占0%；经营支出0万元，占0%；对附属单位补助支出0万元，占0%。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收入总计795.08万元，与2019年相比，增加51.98万元，增加7.00%，主要是因为人员增加以及项目经费增加。支出总计795.08万元，与2019年相比，增加51.98万元，增加7.00%，主要是因为根据工作安排相关经费作年底结余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2020年度财政拨款支出685.38万元，占本年支出合计的100%，与2019年相比，财政拨款支出减少19.80万元，减少2.81%，主要是事业运行支出大幅减少。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2020年度财政拨款支出685.38万元，主要用于以下方面：一般公共服务（类）支出606.14万元，占88.44%；社会保障和就业支出46.35万元，占6.76%，城乡社区支出3万元，占0.44%；住房保障支出29.89万元，占4.36%。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2020年度财政拨款支出年初预算数为622.53万元，支出决算数为685.38万元，完成年初预算的110.10%，其中：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1、一般公共服务（类）统战事务（款）行政运行（项）。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年初预算为386.33万元，支出决算为398.83万元，完成年初预算的103.24%，决算数大于年初预算数的主要原因是：人员增加。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2、一般公共服务（类）统战事务（款）其他统战事务支出（项）。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年初预算为0万元，支出决算为20万元，决算数大于年初预算数的主要原因是：项目支出增加。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3、一般公共服务（类）统战事务（款）一般行政管理事务（项）。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年初预算为175.50万元，支出决算为178.38万元，完成年初预算的101.64%，决算数大于年初预算数的主要原因是：人员增加。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4、一般公共服务（类）港澳台事务（款）一般行政管理事务（项）。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年初预算为7万元，支出决算为6.93万元，完成年初预算的99.00%，决算数小于年初预算数的主要原因是：严格执行预算，预决算基本相等。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5、一般公共服务（类）群众团体事务（款）其他群众团体事务支出（项）。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年初预算为0万元，支出决算为2万元，决算数大于年初预算数的主要原因是：项目支出增加。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6、社会保障和就业支出（类）民政管理事务（款）一般行政管理事务（项）。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年初预算为0万元，支出决算为4.02万元，决算数大于年初预算数的主要原因是：项目支出增加。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7、社会保障和就业支出（类）行政事业单位养老支出（款）行政单位离退休（项）。  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年初预算为24.04万元，支出决算为19.42万元，完成年初预算的80.78%，决算数小于年初预算数的主要原因是：严格执行年初预算，控制开支。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年初预算为0万元，支出决算为18.39万元，决算数大于年初预算数的主要原因是：新增退休人员。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9、社会保障和就业支出（类）行政事业单位养老支出（款）机关事业单位职业年金缴费支出（项）。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年初预算为0万元，支出决算为3.09万元，决算数大于年初预算数的主要原因是：新增退休人员。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年初预算为0万元，支出决算为1.43万元，决算数大于年初预算数的主要原因是：根据财政通知，新增专项支出。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年初预算为0万元，支出决算为3万元，决算数大于年初预算数的主要原因是：年初预算没有细化。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12、住房保障支出（类）住房改革支出（款）住房公积金（项）。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年初预算为29.66万元，支出决算为29.89万元，完成年初预算的100.78%，决算数大于年初预算数的主要原因是：严格执行预算，预决算基本相等。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474.05万元，其中：人员经费406.73万元，占基本支出的85.80%,主要包括基本工资、津贴补贴、奖金、机关事业单位基本养老保险缴费、职工基本医疗保险缴费、其他工资福利支出、生活补助、奖励金、其他对个人和家庭的补助支出。公用经费67.32万元，占基本支出的14.20%，主要包括办公费、印刷费、邮电费、差旅费、因公出国（境）费用、租赁费、会议费、培训费、公务接待费、劳务费、委托业务费、工会经费、其他交通费用、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“三公”经费财政拨款支出预算为0万元，支出决算为0万元，其中：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因公出国（境）费支出预算为0万元，支出决算为0万元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决算数与年初预算数持平，与上年相比减少6.69万元，下降100%，主要原因是无</w:t>
      </w:r>
      <w:r>
        <w:rPr>
          <w:rFonts w:hint="eastAsia" w:ascii="仿宋" w:hAnsi="仿宋" w:eastAsia="仿宋" w:cs="仿宋"/>
          <w:i w:val="0"/>
          <w:iCs w:val="0"/>
          <w:caps w:val="0"/>
          <w:color w:val="auto"/>
          <w:spacing w:val="0"/>
          <w:sz w:val="32"/>
          <w:szCs w:val="32"/>
        </w:rPr>
        <w:t>因公出国（境）</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公务接待费支出预算0万元，支出决算为0万元</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决算数与年初预算数持平，与上年相比减少0.33万元，下降100%，主要原因是无公务接待</w:t>
      </w:r>
      <w:r>
        <w:rPr>
          <w:rFonts w:hint="eastAsia" w:ascii="仿宋" w:hAnsi="仿宋" w:eastAsia="仿宋" w:cs="仿宋"/>
          <w:i w:val="0"/>
          <w:iCs w:val="0"/>
          <w:caps w:val="0"/>
          <w:color w:val="auto"/>
          <w:spacing w:val="0"/>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公务用</w:t>
      </w:r>
      <w:r>
        <w:rPr>
          <w:rFonts w:hint="eastAsia" w:ascii="仿宋" w:hAnsi="仿宋" w:eastAsia="仿宋" w:cs="仿宋"/>
          <w:i w:val="0"/>
          <w:iCs w:val="0"/>
          <w:caps w:val="0"/>
          <w:color w:val="auto"/>
          <w:spacing w:val="0"/>
          <w:sz w:val="32"/>
          <w:szCs w:val="32"/>
          <w:lang w:val="en-US" w:eastAsia="zh-CN"/>
        </w:rPr>
        <w:t>车购置费及运行维护费支出预算为0万元，支出决算为0万元，决算数与年初预算数持平，与上年决算持平，主要原因是无公务用车。</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2020年度“三公”经费财政拨款支出决算中，公务接待费支出决算0万元，占0%；因公出国（境）费支出决算0万元，占0%；公务用车购置费及运行维护费支出决算0万元，占0%。其中：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2、公务接待费支出决算为0万元，全年共接待来访团组0个、来宾0人次。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3、公务用车购置费及运行维护费支出决算为0万元，其中：公务用车购置费0万元，单位本级更新公务用车0辆。公务用车运行维护费0万元，截止2020年12月31日，我单位开支财政拨款的公务用车保有量为0辆。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2020年度无政府性基金预算收入、支出。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根据财政预算管理和省级财政资金预算绩效评价工作要求，2020年我部进一步完善了资金管理制度，规范了资金分配、使用程序，实时跟进了财政资金的支出进度，较好地完成了年度工作目标，重点加强了绩效目标的管理，开展了对部门专项绩效自评工作，部门整体支出绩效评价好。存在的主要问题是，预算细化程度、预算执行力度方面有待提高，下一步要科学合理的编制预算，并严格执行，提高财政资金的使用效益，提高绩效评价的质量。（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w:t>
      </w:r>
      <w:r>
        <w:rPr>
          <w:rStyle w:val="6"/>
          <w:rFonts w:hint="eastAsia" w:ascii="仿宋" w:hAnsi="仿宋" w:eastAsia="仿宋" w:cs="仿宋"/>
          <w:b w:val="0"/>
          <w:bCs/>
          <w:i w:val="0"/>
          <w:iCs w:val="0"/>
          <w:caps w:val="0"/>
          <w:color w:val="auto"/>
          <w:spacing w:val="0"/>
          <w:sz w:val="32"/>
          <w:szCs w:val="32"/>
        </w:rPr>
        <w:t>2020</w:t>
      </w:r>
      <w:r>
        <w:rPr>
          <w:rFonts w:hint="eastAsia" w:ascii="仿宋" w:hAnsi="仿宋" w:eastAsia="仿宋" w:cs="仿宋"/>
          <w:i w:val="0"/>
          <w:iCs w:val="0"/>
          <w:caps w:val="0"/>
          <w:color w:val="auto"/>
          <w:spacing w:val="0"/>
          <w:sz w:val="32"/>
          <w:szCs w:val="32"/>
        </w:rPr>
        <w:t>年度机关运行经费支出67.32万元，比年初预算数增加21.31万元，增长46.32%。主要原因是：由于工作需要增加委托业务费、福利费。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本部门开支会议费0.85万元，用于召开致公党开福区工委2018年度总结会，人数60人，内容为致公党年度总结；开支培训费2.86万元，用于开展同心大讲堂培训，人数530人，内容为同心大讲堂（第二、八、十、十二期）。本部门没有举办节庆、晚会、论坛、赛事活动，开支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1.63万元，其中：政府采购货物支出1.63万元、政府采购工程支出0万元、政府采购服务支出0万元。授予中小企业合同金额1.63万元，占政府采购支出总额的100%，其中：授予小微企业合同金额0.87万元，占政府采购支出总额的53.37%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Style w:val="6"/>
          <w:rFonts w:hint="eastAsia" w:ascii="仿宋" w:hAnsi="仿宋" w:eastAsia="仿宋" w:cs="仿宋"/>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630"/>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 </w:t>
      </w: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Cs/>
          <w:kern w:val="0"/>
          <w:sz w:val="44"/>
          <w:szCs w:val="44"/>
        </w:rPr>
      </w:pPr>
      <w:r>
        <w:rPr>
          <w:rFonts w:hint="eastAsia" w:ascii="黑体" w:hAnsi="黑体" w:eastAsia="黑体" w:cs="黑体"/>
          <w:bCs/>
          <w:kern w:val="0"/>
          <w:sz w:val="44"/>
          <w:szCs w:val="44"/>
        </w:rPr>
        <w:t>第四部分 名词解释</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color w:val="auto"/>
          <w:kern w:val="2"/>
          <w:sz w:val="32"/>
          <w:szCs w:val="32"/>
          <w:lang w:val="en-US" w:eastAsia="zh-CN" w:bidi="ar-SA"/>
        </w:rPr>
      </w:pPr>
      <w:r>
        <w:rPr>
          <w:rFonts w:hint="eastAsia"/>
          <w:lang w:val="en-US" w:eastAsia="zh-CN"/>
        </w:rPr>
        <w:t xml:space="preserve">  </w:t>
      </w:r>
      <w:r>
        <w:rPr>
          <w:rFonts w:hint="eastAsia" w:ascii="仿宋" w:hAnsi="仿宋" w:eastAsia="仿宋" w:cs="仿宋"/>
          <w:color w:val="auto"/>
          <w:kern w:val="2"/>
          <w:sz w:val="32"/>
          <w:szCs w:val="32"/>
          <w:lang w:val="en-US" w:eastAsia="zh-CN" w:bidi="ar-SA"/>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YTBlMjdjYjUxZDNiNzRkNzgwZDI1NzVjNzMwZWIifQ=="/>
  </w:docVars>
  <w:rsids>
    <w:rsidRoot w:val="00000000"/>
    <w:rsid w:val="020525EA"/>
    <w:rsid w:val="0814400C"/>
    <w:rsid w:val="327E0AB8"/>
    <w:rsid w:val="389F2CEF"/>
    <w:rsid w:val="45832214"/>
    <w:rsid w:val="702A2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4410</Words>
  <Characters>4854</Characters>
  <Lines>0</Lines>
  <Paragraphs>0</Paragraphs>
  <TotalTime>4</TotalTime>
  <ScaleCrop>false</ScaleCrop>
  <LinksUpToDate>false</LinksUpToDate>
  <CharactersWithSpaces>4874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WPS_198824019</cp:lastModifiedBy>
  <dcterms:modified xsi:type="dcterms:W3CDTF">2022-08-19T03:27:40Z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0FF08160B1B54FC7B21932B947266140</vt:lpwstr>
  </property>
</Properties>
</file>