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0" w:beforeAutospacing="0" w:after="0" w:afterAutospacing="0" w:line="600" w:lineRule="exact"/>
        <w:ind w:left="0" w:right="0" w:firstLine="0"/>
        <w:jc w:val="center"/>
        <w:textAlignment w:val="auto"/>
        <w:rPr>
          <w:rFonts w:hint="eastAsia" w:ascii="黑体" w:hAnsi="黑体" w:eastAsia="黑体" w:cs="黑体"/>
          <w:b w:val="0"/>
          <w:bCs w:val="0"/>
          <w:i w:val="0"/>
          <w:iCs w:val="0"/>
          <w:caps w:val="0"/>
          <w:color w:val="auto"/>
          <w:spacing w:val="0"/>
          <w:sz w:val="48"/>
          <w:szCs w:val="48"/>
        </w:rPr>
      </w:pPr>
      <w:r>
        <w:rPr>
          <w:rFonts w:hint="eastAsia" w:ascii="黑体" w:hAnsi="黑体" w:eastAsia="黑体" w:cs="黑体"/>
          <w:b w:val="0"/>
          <w:bCs w:val="0"/>
          <w:i w:val="0"/>
          <w:iCs w:val="0"/>
          <w:caps w:val="0"/>
          <w:color w:val="auto"/>
          <w:spacing w:val="0"/>
          <w:sz w:val="48"/>
          <w:szCs w:val="48"/>
        </w:rPr>
        <w:t>2020年开福区文化旅游体育局决算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570"/>
        <w:jc w:val="center"/>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目 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570"/>
        <w:jc w:val="both"/>
        <w:textAlignment w:val="auto"/>
        <w:rPr>
          <w:rFonts w:hint="eastAsia" w:ascii="黑体" w:hAnsi="黑体" w:eastAsia="黑体" w:cs="黑体"/>
          <w:b/>
          <w:bCs/>
          <w:color w:val="auto"/>
          <w:sz w:val="32"/>
          <w:szCs w:val="32"/>
        </w:rPr>
      </w:pPr>
      <w:r>
        <w:rPr>
          <w:rFonts w:hint="eastAsia" w:ascii="黑体" w:hAnsi="黑体" w:eastAsia="黑体" w:cs="黑体"/>
          <w:b/>
          <w:bCs/>
          <w:i w:val="0"/>
          <w:iCs w:val="0"/>
          <w:caps w:val="0"/>
          <w:color w:val="auto"/>
          <w:spacing w:val="0"/>
          <w:sz w:val="32"/>
          <w:szCs w:val="32"/>
        </w:rPr>
        <w:t>第一部分 开福区文旅体局概况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一、部门职责</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二、机构设置</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第二部分 部门决算表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八、政府性基金预算财政拨款收入支出决算表</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w:t>
      </w:r>
      <w:r>
        <w:rPr>
          <w:rFonts w:hint="eastAsia" w:ascii="仿宋" w:hAnsi="仿宋" w:eastAsia="仿宋" w:cs="仿宋"/>
          <w:color w:val="auto"/>
          <w:sz w:val="32"/>
          <w:szCs w:val="32"/>
          <w:highlight w:val="none"/>
        </w:rPr>
        <w:t>国有资本经营预算财政拨款支出决算表</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 xml:space="preserve">第三部分 </w:t>
      </w:r>
      <w:r>
        <w:rPr>
          <w:rFonts w:hint="eastAsia" w:ascii="黑体" w:hAnsi="黑体" w:eastAsia="黑体" w:cs="黑体"/>
          <w:b/>
          <w:bCs/>
          <w:color w:val="auto"/>
          <w:kern w:val="0"/>
          <w:sz w:val="32"/>
          <w:szCs w:val="32"/>
          <w:lang w:val="en-US" w:eastAsia="zh-CN"/>
        </w:rPr>
        <w:t>2020</w:t>
      </w:r>
      <w:r>
        <w:rPr>
          <w:rFonts w:hint="eastAsia" w:ascii="黑体" w:hAnsi="黑体" w:eastAsia="黑体" w:cs="黑体"/>
          <w:b/>
          <w:bCs/>
          <w:color w:val="auto"/>
          <w:kern w:val="0"/>
          <w:sz w:val="32"/>
          <w:szCs w:val="32"/>
        </w:rPr>
        <w:t>年度部门决算情况说明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二、收入决算情况说明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四、财政拨款收入支出决算总体情况说明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五、一般公共预算财政拨款支出决算情况说明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六、一般公共预算财政拨款基本支出决算情况说明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七、一般公共预算财政拨款三公经费支出决算情况说明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八、政府性基金预算收入支出决算情况</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九、关于2020年度预算绩效情况的说明</w:t>
      </w:r>
    </w:p>
    <w:p>
      <w:pPr>
        <w:pStyle w:val="6"/>
        <w:keepNext w:val="0"/>
        <w:keepLines w:val="0"/>
        <w:pageBreakBefore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十、</w:t>
      </w:r>
      <w:r>
        <w:rPr>
          <w:rFonts w:hint="eastAsia" w:ascii="仿宋" w:hAnsi="仿宋" w:eastAsia="仿宋" w:cs="仿宋"/>
          <w:color w:val="auto"/>
          <w:kern w:val="0"/>
          <w:sz w:val="32"/>
          <w:szCs w:val="32"/>
        </w:rPr>
        <w:t>其他重要事项情况说明</w:t>
      </w:r>
    </w:p>
    <w:p>
      <w:pPr>
        <w:keepNext w:val="0"/>
        <w:keepLines w:val="0"/>
        <w:pageBreakBefore w:val="0"/>
        <w:widowControl/>
        <w:kinsoku/>
        <w:wordWrap/>
        <w:overflowPunct/>
        <w:topLinePunct w:val="0"/>
        <w:bidi w:val="0"/>
        <w:snapToGrid/>
        <w:spacing w:line="600" w:lineRule="exact"/>
        <w:ind w:firstLine="643" w:firstLineChars="200"/>
        <w:jc w:val="left"/>
        <w:textAlignment w:val="auto"/>
        <w:rPr>
          <w:rFonts w:hint="eastAsia" w:ascii="黑体" w:hAnsi="黑体" w:eastAsia="黑体" w:cs="黑体"/>
          <w:b/>
          <w:bCs/>
          <w:color w:val="auto"/>
          <w:kern w:val="0"/>
          <w:sz w:val="32"/>
          <w:szCs w:val="32"/>
        </w:rPr>
      </w:pPr>
      <w:r>
        <w:rPr>
          <w:rFonts w:hint="eastAsia" w:ascii="黑体" w:hAnsi="黑体" w:eastAsia="黑体" w:cs="黑体"/>
          <w:b/>
          <w:bCs/>
          <w:color w:val="auto"/>
          <w:kern w:val="0"/>
          <w:sz w:val="32"/>
          <w:szCs w:val="32"/>
        </w:rPr>
        <w:t>第四部分 名词解释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right="0" w:firstLine="643" w:firstLineChars="200"/>
        <w:jc w:val="both"/>
        <w:textAlignment w:val="auto"/>
        <w:rPr>
          <w:rFonts w:hint="eastAsia" w:ascii="仿宋" w:hAnsi="仿宋" w:eastAsia="仿宋" w:cs="仿宋"/>
          <w:color w:val="auto"/>
          <w:sz w:val="32"/>
          <w:szCs w:val="32"/>
        </w:rPr>
      </w:pPr>
      <w:r>
        <w:rPr>
          <w:rFonts w:hint="eastAsia" w:ascii="黑体" w:hAnsi="黑体" w:eastAsia="黑体" w:cs="黑体"/>
          <w:b/>
          <w:bCs/>
          <w:color w:val="auto"/>
          <w:kern w:val="0"/>
          <w:sz w:val="32"/>
          <w:szCs w:val="32"/>
        </w:rPr>
        <w:t>第五部分 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57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bidi w:val="0"/>
        <w:snapToGrid/>
        <w:spacing w:before="30" w:beforeAutospacing="0" w:after="30" w:afterAutospacing="0" w:line="600" w:lineRule="exact"/>
        <w:ind w:left="0" w:right="0" w:firstLine="570"/>
        <w:jc w:val="center"/>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第一部分 开福区文旅体局概况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一、部门职责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（一）研究拟订全区文化、旅游、体育相关政策措施，统筹规划全区文化事业、旅游业和体育事业发展，拟订发展规划并组织实施，推进文化和旅游、体育融合发展，推进文化、旅游和体育领域体制机制改革。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二）管理全区重大文化、旅游和体育活动，指导全区重点文化、旅游和体育设施建设，组织全区文化、旅游和体育整体形象宣传推广，促进文化、旅游和体育领域产业对外合作和市场推广，制定旅游市场开发战略并组织实施，指导、推进全域旅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（三）指导、管理全区文艺事业，指导艺术创作生产，扶持体现社会主义核心价值观、具有导向性代表性示范性的文艺作品，推动各门类艺术、各艺术品种发展。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（四）负责推进全区文化、旅游和体育公共服务体系建设，深入实施文化、旅游和体育惠民工程，统筹推进基本公共文化服务标准化、均等化。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（五）指导、推进全区文化、旅游和体育科技创新发展，推进文化、旅游和体育行业信息化、标准化建设。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（六）负责全区非物质文化遗产保护，推动非物质文化遗产的保护、传承、普及、弘扬和振兴。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七）推行全民健身计划，指导并开展全区群众性体育活动，贯彻实施国家体育锻炼标准，开展国民体质监测。统筹规划青少年体育发展，指导和推进青少年体育工作，推动学校体育设施向公众开放。负责全区体育社团的资格审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（八）统筹规划竞技体育发展，研究全区竞技体育项目设置与布局，指导协调体育训练和体育竞赛，负责全区举办的国际国内重大比赛的组织、指导与协调，组织开展体育科研活动和成果推广。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（九）组织实施文化、旅游和体育资源普查、挖掘、保护和利用工作，促进文化、旅游和体育领域产业发展。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（十）指导全区文化、旅游和体育领域市场发展，对文化、旅游和体育领域市场经营进行行业监管及安全监管，推进全市文化、旅游和体育行业信用体系建设，依法规范文化、旅游和体育领域市场。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（十一）配合文化市场综合执法，维护市场秩序。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（十二）管理全区文物事业，指导开展文物的保护、管理、利用工作。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（十三）指导全区文化、旅游、体育行业人才队伍建设。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（十四）完成区委、区政府交办的其它任务。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二、机构设置及决算单位构成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color w:val="auto"/>
          <w:sz w:val="32"/>
          <w:szCs w:val="32"/>
        </w:rPr>
      </w:pPr>
      <w:r>
        <w:rPr>
          <w:rFonts w:hint="eastAsia" w:ascii="仿宋" w:hAnsi="仿宋" w:eastAsia="仿宋" w:cs="仿宋"/>
          <w:b/>
          <w:bCs/>
          <w:i w:val="0"/>
          <w:iCs w:val="0"/>
          <w:caps w:val="0"/>
          <w:color w:val="auto"/>
          <w:spacing w:val="0"/>
          <w:sz w:val="32"/>
          <w:szCs w:val="32"/>
        </w:rPr>
        <w:t>（一）内设机构设置</w:t>
      </w:r>
      <w:r>
        <w:rPr>
          <w:rFonts w:hint="eastAsia" w:ascii="仿宋" w:hAnsi="仿宋" w:eastAsia="仿宋" w:cs="仿宋"/>
          <w:i w:val="0"/>
          <w:iCs w:val="0"/>
          <w:caps w:val="0"/>
          <w:color w:val="auto"/>
          <w:spacing w:val="0"/>
          <w:sz w:val="32"/>
          <w:szCs w:val="32"/>
        </w:rPr>
        <w:t>。开福区文旅体局内设机构包括：局机关和4个二级机构。4个二级机构分别是文化市场综合执法局（正科级参公事业单位）、文化馆（副科级事业单位）、图书馆（副科级事业单位）和文物管理所。区文化旅游体育局内设办公室、文化体育科、市场科（行政审批和政务服务科）、旅游管理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人员情况：本部门编制数21人，在职人数20人，其中：在岗人数23人；编外长期聘用人员8人；退休人数11人。</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b/>
          <w:bCs/>
          <w:i w:val="0"/>
          <w:iCs w:val="0"/>
          <w:caps w:val="0"/>
          <w:color w:val="auto"/>
          <w:spacing w:val="0"/>
          <w:sz w:val="32"/>
          <w:szCs w:val="32"/>
        </w:rPr>
        <w:t>决算单位构成</w:t>
      </w:r>
      <w:r>
        <w:rPr>
          <w:rFonts w:hint="eastAsia" w:ascii="仿宋" w:hAnsi="仿宋" w:eastAsia="仿宋" w:cs="仿宋"/>
          <w:i w:val="0"/>
          <w:iCs w:val="0"/>
          <w:caps w:val="0"/>
          <w:color w:val="auto"/>
          <w:spacing w:val="0"/>
          <w:sz w:val="32"/>
          <w:szCs w:val="32"/>
        </w:rPr>
        <w:t>。开福区文化旅游体育局本级，没有其他二级决算单位，因此，纳入2020年决算编制范围的只有开福区文化旅游体育局本级。  </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570" w:leftChars="0" w:right="0" w:rightChars="0" w:firstLine="640" w:firstLineChars="200"/>
        <w:jc w:val="both"/>
        <w:textAlignment w:val="auto"/>
        <w:rPr>
          <w:rFonts w:hint="eastAsia" w:ascii="仿宋" w:hAnsi="仿宋" w:eastAsia="仿宋" w:cs="仿宋"/>
          <w:i w:val="0"/>
          <w:iCs w:val="0"/>
          <w:caps w:val="0"/>
          <w:color w:val="auto"/>
          <w:spacing w:val="0"/>
          <w:sz w:val="32"/>
          <w:szCs w:val="32"/>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center"/>
        <w:textAlignment w:val="auto"/>
        <w:rPr>
          <w:rFonts w:hint="eastAsia" w:ascii="黑体" w:hAnsi="黑体" w:eastAsia="黑体" w:cs="黑体"/>
          <w:i w:val="0"/>
          <w:iCs w:val="0"/>
          <w:caps w:val="0"/>
          <w:color w:val="auto"/>
          <w:spacing w:val="0"/>
          <w:sz w:val="44"/>
          <w:szCs w:val="44"/>
        </w:rPr>
      </w:pPr>
      <w:r>
        <w:rPr>
          <w:rFonts w:hint="eastAsia" w:ascii="黑体" w:hAnsi="黑体" w:eastAsia="黑体" w:cs="黑体"/>
          <w:i w:val="0"/>
          <w:iCs w:val="0"/>
          <w:caps w:val="0"/>
          <w:color w:val="auto"/>
          <w:spacing w:val="0"/>
          <w:sz w:val="44"/>
          <w:szCs w:val="44"/>
        </w:rPr>
        <w:t>第二部分 2020年度部门决算表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jc w:val="center"/>
        <w:textAlignment w:val="auto"/>
        <w:rPr>
          <w:rFonts w:hint="eastAsia" w:ascii="仿宋" w:hAnsi="仿宋" w:eastAsia="仿宋" w:cs="仿宋"/>
          <w:i w:val="0"/>
          <w:iCs w:val="0"/>
          <w:caps w:val="0"/>
          <w:color w:val="auto"/>
          <w:spacing w:val="0"/>
          <w:sz w:val="32"/>
          <w:szCs w:val="32"/>
          <w:lang w:eastAsia="zh-CN"/>
        </w:rPr>
      </w:pPr>
      <w:r>
        <w:rPr>
          <w:rFonts w:hint="eastAsia" w:ascii="仿宋" w:hAnsi="仿宋" w:eastAsia="仿宋" w:cs="仿宋"/>
          <w:i w:val="0"/>
          <w:iCs w:val="0"/>
          <w:caps w:val="0"/>
          <w:color w:val="auto"/>
          <w:spacing w:val="0"/>
          <w:sz w:val="32"/>
          <w:szCs w:val="32"/>
          <w:lang w:eastAsia="zh-CN"/>
        </w:rPr>
        <w:t>（</w:t>
      </w:r>
      <w:r>
        <w:rPr>
          <w:rFonts w:hint="eastAsia" w:ascii="仿宋" w:hAnsi="仿宋" w:eastAsia="仿宋" w:cs="仿宋"/>
          <w:i w:val="0"/>
          <w:iCs w:val="0"/>
          <w:caps w:val="0"/>
          <w:color w:val="auto"/>
          <w:spacing w:val="0"/>
          <w:sz w:val="32"/>
          <w:szCs w:val="32"/>
          <w:lang w:val="en-US" w:eastAsia="zh-CN"/>
        </w:rPr>
        <w:t>详情请见附件</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right="0"/>
        <w:jc w:val="center"/>
        <w:textAlignment w:val="auto"/>
        <w:rPr>
          <w:rFonts w:hint="eastAsia" w:ascii="仿宋" w:hAnsi="仿宋" w:eastAsia="仿宋" w:cs="仿宋"/>
          <w:i w:val="0"/>
          <w:iCs w:val="0"/>
          <w:caps w:val="0"/>
          <w:color w:val="auto"/>
          <w:spacing w:val="0"/>
          <w:sz w:val="32"/>
          <w:szCs w:val="32"/>
          <w:lang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880" w:firstLineChars="200"/>
        <w:jc w:val="both"/>
        <w:textAlignment w:val="auto"/>
        <w:rPr>
          <w:rFonts w:hint="eastAsia" w:ascii="黑体" w:hAnsi="黑体" w:eastAsia="黑体" w:cs="黑体"/>
          <w:color w:val="auto"/>
          <w:sz w:val="44"/>
          <w:szCs w:val="44"/>
        </w:rPr>
      </w:pPr>
      <w:r>
        <w:rPr>
          <w:rFonts w:hint="eastAsia" w:ascii="黑体" w:hAnsi="黑体" w:eastAsia="黑体" w:cs="黑体"/>
          <w:i w:val="0"/>
          <w:iCs w:val="0"/>
          <w:caps w:val="0"/>
          <w:color w:val="auto"/>
          <w:spacing w:val="0"/>
          <w:sz w:val="44"/>
          <w:szCs w:val="44"/>
        </w:rPr>
        <w:t>第三部分 2020年度部门决算情况说明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一、收入支出决算总体情况说明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2020年度收入总计2929.82万元。与2019年相比，增加265.66万元，增长9.97%，主要是因为政府性基金预算财政拨款收入增加，即体彩公益金争取资金量增加。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2020年度支出总计2929.82万元。与2019年相比，增加265.66万元，增长9.97%，主要是因为疫情影响，上级补助增多。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二、收入决算情况说明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本年收入合计2305.86万元，其中：财政拨款收入2305.86万元，占100%；上级补助收入0万元，占0%；事业收入0万元，占0%；经营收入0万元，占0%；附属单位上缴收入0万元，占0%；其他收入0万元，占0%。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三、支出决算情况说明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本年支出合计2136.74万元，其中：基本支出700.76万元，占32.8%；项目支出1435.98万元，占67.2%；上缴上级支出0万元，占0%；经营支出0万元，占0%；对附属单位补助支出0万元，占0%。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四、财政拨款收入支出决算总体情况说明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2020年度财政拨款收入总计2929.82万元，与2019年相比，增加265.66万元,增长9.97%，主要是因为政府性基金预算财政拨款收入增加，即体彩公益金争取资金量增加。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2020年度财政拨款支出总计2929.82万元，与2019年相比，增加265.66万元,增长9.97%，主要是因为疫情影响，上级补助增多。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五、一般公共预算财政拨款支出决算情况说明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（一）财政拨款支出决算总体情况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2020年度财政拨款支出2079.47万元，占本年支出合计的97.32%，与2019年相比，财政拨款支出增加242.54万元，增长13.2%，主要是因为疫情影响，上级补助增多。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（二）财政拨款支出决算结构情况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2079.47万元，主要用于以下方面：一般公共服务支出4.59万元，占0.22%；文化旅游体育与传媒支出1969.97万元，占94.73%；社会保障与就业支出62.65万元，占3.01%；城乡社区支出3万元，占0.15%；住房保障支出38.26万元，占1.84%；灾害防治及应急管理支出1万元，占0.05%。</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（三）财政拨款支出决算具体情况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2020年度财政拨款支出年初预算数为1205万元，支出决算数为2079.47万元，完成年初预算的172.57%，其中：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1、一般公共服务支出（类）宣传事务（款）一般行政管理事务（项）。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年初预算为0万元，支出决算为4.59万元，决算数大于年初预算数的主要原因是：该项支出是当年宣传部调入的文化活动工作经费，未纳入到年初预算中。。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2、文化旅游体育与传媒支出（类）文化和旅游（款）行政运行（项）。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年初预算为648.71万元，支出决算为602.16万元，完成年初预算的92.82%，决算数小于年初预算数的主要原因是：人员经费调整。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3、文化旅游体育与传媒支出（类）文化和旅游（款）一般行政管理事务（项）。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年初预算为50万元，支出决算为38.53万元，完成年初预算的77.06%，决算数小于年初预算数的主要原因是：疫情影响文旅活动减少。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4、文化旅游体育与传媒支出（类）文化和旅游（款）图书馆（项）。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年初预算为150万元，支出决算为87.92万元，完成年初预算的58.61%，决算数小于年初预算数的主要原因是：受疫情影响图书馆日常群众读书活动减少。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5、文化旅游体育与传媒支出（类）文化和旅游（款）文化展示及纪念机构（项）。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年初预算为0万元，支出决算为20万元，决算数大于年初预算数的主要原因是：年初图书分馆经费预算未列支在该项中，决算时将图书分馆经费支出列入文化展示及纪念机构项内。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6、文化旅游体育与传媒支出（类）文化和旅游（款）群众文化（项）。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年初预算为69万元，支出决算为112.28万元，完成年初预算的162.72%，决算数大于年初预算数的主要原因是：2020年区政府配套的2019年示范性村（社区）文化服务中心建设资金60万元未列入到年初预算中。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7、文化旅游体育与传媒支出（类）文化和旅游（款）文化创作与保护（项）。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年初预算为0万元，支出决算为18.4万元，决算数大于年初预算数的主要原因是：该项支出是当年下拨的上年度争取市级非物质文化遗产保护专项资金，未纳入到年初预算中。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8、文化旅游体育与传媒支出（类）文化和旅游（款）文化和旅游市场管理（项）。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年初预算为18万元，支出决算为17.64万元，完成年初预算的98%，预决算数基本持平，控制在预算范围内。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9、文化旅游体育与传媒支出（类）文化和旅游（款）其他文化和旅游支出（项）。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年初预算为0万元，支出决算为645.47万元，决算数大于年初预算数的主要原因是：往年结余上级资金和本年度争取的上级资金收入未纳入到年初预算中。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10、文化旅游体育与传媒支出（类）文物（款）一般行政管理事务（文物）（项）。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年初预算为5万元，支出决算为3.91万元，完成年初预算数的78.2%。决算数小于年初预算数的主要原因是：文物线日常办公经费支出减少。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11、文化旅游体育与传媒支出（类）文物（款）文物保护（项）。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年初预算为37.52万元，支出决算为10.16万元，完成年初预算的27.08%，决算数小于年初预算数的主要原因是：下拨给各街道的不可移动文物安全管理经费直接由财政局划拨，共计23.4万，未纳入到决算范畴。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12、文化旅游体育与传媒支出（类）文物（款）历史名城与古迹（项）。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年初预算为0万元，支出决算为155.2万元，决算数大于年初预算数的主要原因是：往年结余上级资金和本年度争取的上级资金收入未纳入到年初预算中。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13、文化旅游体育与传媒支出（类）体育（款）一般行政管理事务（体育）（项）。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年初预算为13万元，支出决算为86.6万元，完成年初预算的666.15%，决算数年初预算数的主要原因是：往年结余和本年度争取的为民办实事工程经费未纳入到年初预算中。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14、文化旅游体育与传媒支出（类）体育（款）群众体育（项）。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年初预算120万，支出决算91.48万元，完成年初预算的76.23%，决算数大于年初预算数的主要原因是：受疫情影响，本年度体育活动赛事减少。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15、文化旅游体育与传媒支出（类）其他文化旅游体育与传媒支出（款）其他文化旅游体育与传媒支出（项）。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年初预算0万，支出决算80.21万元，决算数大于年初预算数的主要原因是：往年结余上级资金和本年度争取的上级资金未列入到年初预算中。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16、社会保障和就业支出（类）行政事业单位养老支出（款）行政单位离退休（项）。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年初预算为48.47万元，支出决算为37.58万元，完成年初预算的77.53%，决算数小于年初预算数的主要原因是人员经费调整。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17、社会保障和就业支出（类）行政事业单位养老支出（款）机关事业单位基本养老保险缴费支出（项）。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w:t>
      </w:r>
      <w:bookmarkStart w:id="0" w:name="_GoBack"/>
      <w:bookmarkEnd w:id="0"/>
      <w:r>
        <w:rPr>
          <w:rFonts w:hint="eastAsia" w:ascii="仿宋" w:hAnsi="仿宋" w:eastAsia="仿宋" w:cs="仿宋"/>
          <w:i w:val="0"/>
          <w:iCs w:val="0"/>
          <w:caps w:val="0"/>
          <w:color w:val="auto"/>
          <w:spacing w:val="0"/>
          <w:sz w:val="32"/>
          <w:szCs w:val="32"/>
        </w:rPr>
        <w:t>为0万元，支出决算为22.76万元，决算数大于年初预算数的主要原因是：年初预算将该项支出列入到文化旅游体育与传媒支出（类）文化和旅游（款）行政运行（项）中。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18、社会保障和就业支出（类）残疾人事业（款）其他残疾人事业支出（项）。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年初预算为0万元，支出决算为2.31万元，决算数大于年初预算数的主要原因是：2020年残疾人保障金缴纳费用未纳入年初预算。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19、城乡社区支出（类）城乡社区管理事务（款）其他城乡社区管理事务支出（项）。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年初预算为0万元，支出决算为3万元，决算数大于年初预算数的主要原因是：单位集体奖励资金未纳入年初预算。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20、住房保障支出（类）住房改革支出（款）住房公积金（项）。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年初预算为45.3万元，支出决算为38.26万元，完成年初预算的98.83%，决算数与年初预算数基本持平，控制在预算范围内。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21、灾害防治及应急管理支出（类）应急管理事务（款）一般行政管理事务（项）。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年初预算为0万元，支出决算为1万元，决算数大于年初预算数的主要原因是单位集体奖励资金未纳入年初预算。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六、一般公共预算财政拨款基本支出决算情况说明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财政拨款基本支出700.76万元，其中：人员经费674.04万元，占基本支出的96.19%,主要包括基本工资、奖金、绩效工资、机关事业单位基本养老保险缴费、职工基本医疗保险缴费、其他社会保障缴费、住房公积金、其他工资福利支出、退休费和其他对个人和家庭的补助；公用经费26.72万元，占基本支出的3.81%，主要包括办公费、水电费、邮电费、租赁费、劳务费、公务用车运行维护费、其他交通费用和其他商品和服务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七、一般公共预算财政拨款三公经费支出决算情况说明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（一）“三公”经费财政拨款支出决算总体情况说明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“三公”经费财政拨款支出预算为7.2万元，支出决算为0.35万元，完成预算的4.86%，其中：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lang w:val="en-US" w:eastAsia="zh-CN"/>
        </w:rPr>
      </w:pPr>
      <w:r>
        <w:rPr>
          <w:rFonts w:hint="eastAsia" w:ascii="仿宋" w:hAnsi="仿宋" w:eastAsia="仿宋" w:cs="仿宋"/>
          <w:i w:val="0"/>
          <w:iCs w:val="0"/>
          <w:caps w:val="0"/>
          <w:color w:val="auto"/>
          <w:spacing w:val="0"/>
          <w:sz w:val="32"/>
          <w:szCs w:val="32"/>
        </w:rPr>
        <w:t>因公出国（境）费支出预算为0万元，支出决算为0万元，决算数等于年初预算数</w:t>
      </w:r>
      <w:r>
        <w:rPr>
          <w:rFonts w:hint="eastAsia" w:ascii="仿宋" w:hAnsi="仿宋" w:eastAsia="仿宋" w:cs="仿宋"/>
          <w:i w:val="0"/>
          <w:iCs w:val="0"/>
          <w:caps w:val="0"/>
          <w:color w:val="auto"/>
          <w:spacing w:val="0"/>
          <w:sz w:val="32"/>
          <w:szCs w:val="32"/>
          <w:lang w:val="en-US" w:eastAsia="zh-CN"/>
        </w:rPr>
        <w:t>，与上年持平，主要原因是无</w:t>
      </w:r>
      <w:r>
        <w:rPr>
          <w:rFonts w:hint="eastAsia" w:ascii="仿宋" w:hAnsi="仿宋" w:eastAsia="仿宋" w:cs="仿宋"/>
          <w:i w:val="0"/>
          <w:iCs w:val="0"/>
          <w:caps w:val="0"/>
          <w:color w:val="auto"/>
          <w:spacing w:val="0"/>
          <w:sz w:val="32"/>
          <w:szCs w:val="32"/>
        </w:rPr>
        <w:t>因公出国（境）</w:t>
      </w:r>
      <w:r>
        <w:rPr>
          <w:rFonts w:hint="eastAsia" w:ascii="仿宋" w:hAnsi="仿宋" w:eastAsia="仿宋" w:cs="仿宋"/>
          <w:i w:val="0"/>
          <w:iCs w:val="0"/>
          <w:caps w:val="0"/>
          <w:color w:val="auto"/>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接待费支出预算0.8万元，支出决算为0万元，完成预算的0%，决算数小于年初预算数的主要原因是积极贯彻落实中央、省委、市委、区委关于厉行节约的要求，从严控制公务接待行为。与上年相同，积极贯彻落实中央、省委、市委、区委关于厉行节约的要求，从严控制公务接待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公务用车购置费及运行维护费支出预算为6.4万元，支出决算为0.35万元，完成预算的5.47%，决算数小于年初预算数的主要原因是贯彻落实中央和国家机关公务用车制度改革精神，公务用车数量减少，与上年相比减少0.62万元，减少63.92%,减少的主要原因是贯彻落实中央和国家机关公务用车制度改革精神，公务用车数量减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（二）“三公”经费财政拨款支出决算具体情况说明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2020年度“三公”经费财政拨款支出决算中，公务接待费支出决算0万元，占0%,因公出国（境）费支出决算0万元，占0%,公务用车购置费及运行维护费支出决算0.35万元，占100%。其中：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1、因公出国（境）费支出决算为0万元，全年安排因公出国（境）团组0个，累计0人次。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2、公务接待费支出决算为0万元，全年共接待来访团组0 个、来宾0人次。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3、公务用车购置费及运行维护费支出决算为0.35万元，其中：公务用车购置费0万元，开福区文化旅游体育局本级和二级机构更新公务用车0辆。公务用车运行维护费0.35万元，主要是主要用于市内因公出行以及开展业务所需车辆燃料费、维修费、过桥过路费、保险费等支出，我单位开支财政拨款的公务用车保有量为1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八、政府性基金预算收入支出决算情况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2020年度政府性基金预算财政拨款收入113万元；年初结转和结余112万元；支出57.27万元，其中基本支出0万元，项目支出57.27万元；年末结转和结余167.73万元。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九、关于2020年度预算绩效情况说明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项目整体资金执行较好，项目实施效果符合预期绩效目标，在丰富群众文化生活，提升群众文化素质，提升全民阅读意识，起到阅读宣传效果，促进全民健康水平提升方面产生了积极的作用。整体情况见附件。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i w:val="0"/>
          <w:iCs w:val="0"/>
          <w:caps w:val="0"/>
          <w:color w:val="auto"/>
          <w:spacing w:val="0"/>
          <w:sz w:val="32"/>
          <w:szCs w:val="32"/>
        </w:rPr>
        <w:t>十、其他重要事项情况说明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（一）机关运行经费支出情况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机关运行经费支出26.72万元，比年初预算数减少39.47万元，降低59.63%。主要原因是：贯彻落实中央、省委、市委、区委关于厉行节约的要求，缩减办公经费，减少印刷费、劳务费和委托业务费等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（二）一般性支出情况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2020年本部门开支会议费0.32万元，具体明细如下：基本支出0万元；项目支出0.32万，用于召开图书馆业务会议，人数15人，内容为图书馆馆际交流会；开支培训费10.48万元，具体明细如下：基本支出0万元；项目支出10.48万，用于开展图书馆、文化馆、文物安全和体育指导员培训，人数500余人。1、圈圈故事会，支出0.4万元；2、“世界读书日”活动宣传，支出0.24万元；3、开福大讲堂端午专场培训，支出0.535万元；4、文化馆免费培训，支出5.78万元；5、文物安全保护培训，支出3.325万元；6、体育指导员培训，支出0.2万元；举办文化惠民活动和气排球体育赛事活动，开支53.38万元，主要是春节文化惠民活动，支出8.95万；公仆杯篮球赛活动，支出6.84万元；青春芒果节打卡长沙城活动，支出3.9万元；马栏山第一届运动会气排球赛，支出1.61万；“湘约开福 戏韵名城”2020开福区戏曲进乡村活动，支出31.37万元；幸福向北2020羽毛球交流赛，支出0.71万元。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（三）政府采购支出情况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i w:val="0"/>
          <w:iCs w:val="0"/>
          <w:caps w:val="0"/>
          <w:color w:val="auto"/>
          <w:spacing w:val="0"/>
          <w:sz w:val="32"/>
          <w:szCs w:val="32"/>
        </w:rPr>
        <w:t>本部门2020年度政府采购支出总额123.34万元，其中：政府采购货物支出93.28万元、政府采购工程支出0万元、政府采购服务支出30.06万元。授予中小企业合同金额0万元，占政府采购支出总额的0%，其中：授予小微企业合同金额0万元，占政府采购支出总额的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3" w:firstLineChars="200"/>
        <w:jc w:val="both"/>
        <w:textAlignment w:val="auto"/>
        <w:rPr>
          <w:rFonts w:hint="eastAsia" w:ascii="仿宋" w:hAnsi="仿宋" w:eastAsia="仿宋" w:cs="仿宋"/>
          <w:b/>
          <w:bCs/>
          <w:color w:val="auto"/>
          <w:sz w:val="32"/>
          <w:szCs w:val="32"/>
        </w:rPr>
      </w:pPr>
      <w:r>
        <w:rPr>
          <w:rFonts w:hint="eastAsia" w:ascii="仿宋" w:hAnsi="仿宋" w:eastAsia="仿宋" w:cs="仿宋"/>
          <w:b/>
          <w:bCs/>
          <w:i w:val="0"/>
          <w:iCs w:val="0"/>
          <w:caps w:val="0"/>
          <w:color w:val="auto"/>
          <w:spacing w:val="0"/>
          <w:sz w:val="32"/>
          <w:szCs w:val="32"/>
        </w:rPr>
        <w:t>（四）国有资产占用情况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rPr>
        <w:t>截至2020年12月31日，本单位共有车辆 0 辆，其中，领导干部用车0辆、机要通信用车0辆、应急保障用车0辆、执法执勤用车0辆、特种专业技术用车0辆、其他用车0辆；单位价值50万元以上通用设备0台（套）；单位价值100万元以上专用设备0台（套）。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0" w:beforeAutospacing="0" w:after="30" w:afterAutospacing="0" w:line="60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p>
    <w:p>
      <w:pPr>
        <w:keepNext w:val="0"/>
        <w:keepLines w:val="0"/>
        <w:pageBreakBefore w:val="0"/>
        <w:widowControl/>
        <w:kinsoku/>
        <w:wordWrap/>
        <w:overflowPunct/>
        <w:topLinePunct w:val="0"/>
        <w:bidi w:val="0"/>
        <w:snapToGrid/>
        <w:spacing w:line="600" w:lineRule="exact"/>
        <w:jc w:val="center"/>
        <w:textAlignment w:val="auto"/>
        <w:rPr>
          <w:rFonts w:hint="eastAsia" w:ascii="黑体" w:hAnsi="黑体" w:eastAsia="黑体" w:cs="黑体"/>
          <w:bCs/>
          <w:color w:val="auto"/>
          <w:kern w:val="0"/>
          <w:sz w:val="44"/>
          <w:szCs w:val="44"/>
        </w:rPr>
      </w:pPr>
      <w:r>
        <w:rPr>
          <w:rFonts w:hint="eastAsia" w:ascii="黑体" w:hAnsi="黑体" w:eastAsia="黑体" w:cs="黑体"/>
          <w:bCs/>
          <w:color w:val="auto"/>
          <w:kern w:val="0"/>
          <w:sz w:val="44"/>
          <w:szCs w:val="44"/>
        </w:rPr>
        <w:t>第四部分 名词解释</w:t>
      </w:r>
    </w:p>
    <w:p>
      <w:pPr>
        <w:keepNext w:val="0"/>
        <w:keepLines w:val="0"/>
        <w:pageBreakBefore w:val="0"/>
        <w:kinsoku/>
        <w:wordWrap/>
        <w:overflowPunct/>
        <w:topLinePunct w:val="0"/>
        <w:bidi w:val="0"/>
        <w:snapToGrid/>
        <w:spacing w:line="600" w:lineRule="exact"/>
        <w:textAlignment w:val="auto"/>
        <w:rPr>
          <w:rFonts w:hint="eastAsia"/>
          <w:color w:val="auto"/>
        </w:rPr>
      </w:pPr>
    </w:p>
    <w:p>
      <w:pPr>
        <w:keepNext w:val="0"/>
        <w:keepLines w:val="0"/>
        <w:pageBreakBefore w:val="0"/>
        <w:widowControl/>
        <w:shd w:val="clear" w:color="auto" w:fill="FFFFFF"/>
        <w:kinsoku/>
        <w:wordWrap/>
        <w:overflowPunct/>
        <w:topLinePunct w:val="0"/>
        <w:bidi w:val="0"/>
        <w:snapToGrid/>
        <w:spacing w:line="600" w:lineRule="exact"/>
        <w:ind w:firstLine="420" w:firstLineChars="200"/>
        <w:jc w:val="left"/>
        <w:textAlignment w:val="auto"/>
        <w:rPr>
          <w:rFonts w:hint="eastAsia" w:ascii="仿宋" w:hAnsi="仿宋" w:eastAsia="仿宋" w:cs="仿宋"/>
          <w:color w:val="auto"/>
          <w:kern w:val="2"/>
          <w:sz w:val="32"/>
          <w:szCs w:val="32"/>
          <w:lang w:val="en-US" w:eastAsia="zh-CN" w:bidi="ar-SA"/>
        </w:rPr>
      </w:pPr>
      <w:r>
        <w:rPr>
          <w:rFonts w:hint="eastAsia"/>
          <w:color w:val="auto"/>
          <w:lang w:val="en-US" w:eastAsia="zh-CN"/>
        </w:rPr>
        <w:t xml:space="preserve">  </w:t>
      </w:r>
      <w:r>
        <w:rPr>
          <w:rFonts w:hint="eastAsia" w:ascii="仿宋" w:hAnsi="仿宋" w:eastAsia="仿宋" w:cs="仿宋"/>
          <w:color w:val="auto"/>
          <w:kern w:val="2"/>
          <w:sz w:val="32"/>
          <w:szCs w:val="32"/>
          <w:lang w:val="en-US" w:eastAsia="zh-CN" w:bidi="ar-SA"/>
        </w:rPr>
        <w:t>财政事务：反映财政部门用于预算改革、财政国库集中收付业务、财政监察、信息化建设等财政事务方面的支出。</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基本支出：指为保障机构正常运转、完成日常工作任务而发生的各项支出，包括人员支出和公用支出。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项目支出：指在基本支出以外为完成相关行政任务和事业发展目标所发生的各项支出。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“三公”经费：指通过财政拨款资金安排的因公出国（境）费、公务用车购置及运行费和公务接待费支出。  </w:t>
      </w:r>
    </w:p>
    <w:p>
      <w:pPr>
        <w:keepNext w:val="0"/>
        <w:keepLines w:val="0"/>
        <w:pageBreakBefore w:val="0"/>
        <w:widowControl/>
        <w:shd w:val="clear" w:color="auto" w:fill="FFFFFF"/>
        <w:kinsoku/>
        <w:wordWrap/>
        <w:overflowPunct/>
        <w:topLinePunct w:val="0"/>
        <w:bidi w:val="0"/>
        <w:snapToGrid/>
        <w:spacing w:line="600" w:lineRule="exact"/>
        <w:ind w:firstLine="640" w:firstLineChars="200"/>
        <w:jc w:val="left"/>
        <w:textAlignment w:val="auto"/>
        <w:rPr>
          <w:rFonts w:hint="eastAsia"/>
          <w:color w:val="auto"/>
        </w:rPr>
      </w:pPr>
      <w:r>
        <w:rPr>
          <w:rFonts w:hint="eastAsia" w:ascii="仿宋" w:hAnsi="仿宋" w:eastAsia="仿宋" w:cs="仿宋"/>
          <w:color w:val="auto"/>
          <w:kern w:val="2"/>
          <w:sz w:val="32"/>
          <w:szCs w:val="32"/>
          <w:lang w:val="en-US" w:eastAsia="zh-CN" w:bidi="ar-SA"/>
        </w:rPr>
        <w:t>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kinsoku/>
        <w:wordWrap/>
        <w:overflowPunct/>
        <w:topLinePunct w:val="0"/>
        <w:bidi w:val="0"/>
        <w:snapToGrid/>
        <w:spacing w:line="600" w:lineRule="exact"/>
        <w:textAlignment w:val="auto"/>
        <w:rPr>
          <w:rFonts w:hint="eastAsia"/>
          <w:color w:val="auto"/>
        </w:rPr>
      </w:pPr>
    </w:p>
    <w:p>
      <w:pPr>
        <w:keepNext w:val="0"/>
        <w:keepLines w:val="0"/>
        <w:pageBreakBefore w:val="0"/>
        <w:numPr>
          <w:ilvl w:val="0"/>
          <w:numId w:val="2"/>
        </w:numPr>
        <w:kinsoku/>
        <w:wordWrap/>
        <w:overflowPunct/>
        <w:topLinePunct w:val="0"/>
        <w:bidi w:val="0"/>
        <w:snapToGrid/>
        <w:spacing w:line="600" w:lineRule="exact"/>
        <w:jc w:val="center"/>
        <w:textAlignment w:val="auto"/>
        <w:rPr>
          <w:rFonts w:hint="eastAsia" w:ascii="黑体" w:hAnsi="黑体" w:eastAsia="黑体" w:cs="黑体"/>
          <w:bCs/>
          <w:color w:val="auto"/>
          <w:kern w:val="0"/>
          <w:sz w:val="44"/>
          <w:szCs w:val="44"/>
          <w:lang w:val="en-US" w:eastAsia="zh-CN"/>
        </w:rPr>
      </w:pPr>
      <w:r>
        <w:rPr>
          <w:rFonts w:hint="eastAsia" w:ascii="黑体" w:hAnsi="黑体" w:eastAsia="黑体" w:cs="黑体"/>
          <w:bCs/>
          <w:color w:val="auto"/>
          <w:kern w:val="0"/>
          <w:sz w:val="44"/>
          <w:szCs w:val="44"/>
          <w:lang w:val="en-US" w:eastAsia="zh-CN"/>
        </w:rPr>
        <w:t>附件</w:t>
      </w:r>
    </w:p>
    <w:p>
      <w:pPr>
        <w:keepNext w:val="0"/>
        <w:keepLines w:val="0"/>
        <w:pageBreakBefore w:val="0"/>
        <w:numPr>
          <w:ilvl w:val="0"/>
          <w:numId w:val="0"/>
        </w:numPr>
        <w:kinsoku/>
        <w:wordWrap/>
        <w:overflowPunct/>
        <w:topLinePunct w:val="0"/>
        <w:bidi w:val="0"/>
        <w:snapToGrid/>
        <w:spacing w:line="600" w:lineRule="exact"/>
        <w:jc w:val="both"/>
        <w:textAlignment w:val="auto"/>
        <w:rPr>
          <w:rFonts w:hint="eastAsia" w:ascii="黑体" w:hAnsi="黑体" w:eastAsia="黑体" w:cs="黑体"/>
          <w:bCs/>
          <w:color w:val="auto"/>
          <w:kern w:val="0"/>
          <w:sz w:val="44"/>
          <w:szCs w:val="44"/>
          <w:lang w:val="en-US" w:eastAsia="zh-CN"/>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20</w:t>
      </w:r>
      <w:r>
        <w:rPr>
          <w:rFonts w:hint="eastAsia" w:ascii="仿宋" w:hAnsi="仿宋" w:eastAsia="仿宋" w:cs="仿宋"/>
          <w:color w:val="auto"/>
          <w:sz w:val="32"/>
          <w:szCs w:val="32"/>
        </w:rPr>
        <w:t>年度部门整体支出绩效评价报告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F8D32"/>
    <w:multiLevelType w:val="singleLevel"/>
    <w:tmpl w:val="9F8F8D32"/>
    <w:lvl w:ilvl="0" w:tentative="0">
      <w:start w:val="5"/>
      <w:numFmt w:val="chineseCounting"/>
      <w:suff w:val="space"/>
      <w:lvlText w:val="第%1部分"/>
      <w:lvlJc w:val="left"/>
      <w:rPr>
        <w:rFonts w:hint="eastAsia"/>
      </w:rPr>
    </w:lvl>
  </w:abstractNum>
  <w:abstractNum w:abstractNumId="1">
    <w:nsid w:val="EA0B5773"/>
    <w:multiLevelType w:val="singleLevel"/>
    <w:tmpl w:val="EA0B5773"/>
    <w:lvl w:ilvl="0" w:tentative="0">
      <w:start w:val="2"/>
      <w:numFmt w:val="chineseCounting"/>
      <w:suff w:val="nothing"/>
      <w:lvlText w:val="（%1）"/>
      <w:lvlJc w:val="left"/>
      <w:rPr>
        <w:rFonts w:hint="eastAsia"/>
        <w:b/>
        <w:bC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OWU5YjhhYWZiMzU3YWY5NzcyMWFmMzFmNGFiNjQifQ=="/>
  </w:docVars>
  <w:rsids>
    <w:rsidRoot w:val="00000000"/>
    <w:rsid w:val="2ABD3961"/>
    <w:rsid w:val="2EDB2CB0"/>
    <w:rsid w:val="3855635A"/>
    <w:rsid w:val="57991081"/>
    <w:rsid w:val="5F406533"/>
    <w:rsid w:val="72FE0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6503</Words>
  <Characters>7136</Characters>
  <Lines>0</Lines>
  <Paragraphs>0</Paragraphs>
  <TotalTime>4</TotalTime>
  <ScaleCrop>false</ScaleCrop>
  <LinksUpToDate>false</LinksUpToDate>
  <CharactersWithSpaces>7158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多数是晴天</cp:lastModifiedBy>
  <dcterms:modified xsi:type="dcterms:W3CDTF">2022-08-22T05:58:48Z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9209DAEEC7EB4A7A82C5400C93BD767E</vt:lpwstr>
  </property>
</Properties>
</file>