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宋体" w:hAnsi="宋体" w:eastAsia="宋体" w:cs="宋体"/>
          <w:b/>
          <w:bCs/>
          <w:sz w:val="44"/>
          <w:szCs w:val="44"/>
        </w:rPr>
      </w:pPr>
      <w:r>
        <w:rPr>
          <w:rFonts w:hint="eastAsia" w:ascii="宋体" w:hAnsi="宋体" w:eastAsia="宋体" w:cs="宋体"/>
          <w:b/>
          <w:bCs/>
          <w:sz w:val="44"/>
          <w:szCs w:val="44"/>
        </w:rPr>
        <w:t xml:space="preserve"> </w:t>
      </w:r>
      <w:r>
        <w:rPr>
          <w:rFonts w:hint="eastAsia" w:ascii="仿宋" w:hAnsi="仿宋" w:eastAsia="仿宋" w:cs="仿宋"/>
          <w:b/>
          <w:bCs/>
          <w:kern w:val="0"/>
          <w:sz w:val="48"/>
          <w:szCs w:val="48"/>
        </w:rPr>
        <w:t>2021年</w:t>
      </w:r>
      <w:r>
        <w:rPr>
          <w:rFonts w:hint="eastAsia" w:ascii="宋体" w:hAnsi="宋体" w:eastAsia="宋体" w:cs="宋体"/>
          <w:b/>
          <w:bCs/>
          <w:sz w:val="44"/>
          <w:szCs w:val="44"/>
        </w:rPr>
        <w:t>长沙市开福区统计局部门预算</w:t>
      </w:r>
    </w:p>
    <w:p>
      <w:pPr>
        <w:keepNext w:val="0"/>
        <w:keepLines w:val="0"/>
        <w:pageBreakBefore w:val="0"/>
        <w:widowControl/>
        <w:kinsoku/>
        <w:wordWrap/>
        <w:overflowPunct/>
        <w:topLinePunct w:val="0"/>
        <w:autoSpaceDE/>
        <w:autoSpaceDN/>
        <w:bidi w:val="0"/>
        <w:adjustRightInd/>
        <w:snapToGrid/>
        <w:spacing w:line="600" w:lineRule="exact"/>
        <w:textAlignment w:val="auto"/>
        <w:outlineLvl w:val="2"/>
        <w:rPr>
          <w:rFonts w:hint="eastAsia" w:ascii="宋体" w:hAnsi="宋体" w:eastAsia="宋体" w:cs="宋体"/>
          <w:b/>
          <w:bCs/>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p>
    <w:p>
      <w:pPr>
        <w:keepNext w:val="0"/>
        <w:keepLines w:val="0"/>
        <w:pageBreakBefore w:val="0"/>
        <w:widowControl/>
        <w:numPr>
          <w:ilvl w:val="0"/>
          <w:numId w:val="2"/>
        </w:numPr>
        <w:kinsoku/>
        <w:wordWrap/>
        <w:overflowPunct/>
        <w:topLinePunct w:val="0"/>
        <w:autoSpaceDE/>
        <w:autoSpaceDN/>
        <w:bidi w:val="0"/>
        <w:adjustRightInd/>
        <w:snapToGrid/>
        <w:spacing w:line="600" w:lineRule="exact"/>
        <w:jc w:val="center"/>
        <w:textAlignment w:val="auto"/>
        <w:rPr>
          <w:rFonts w:ascii="黑体" w:hAnsi="黑体" w:eastAsia="黑体" w:cs="黑体"/>
          <w:b/>
          <w:kern w:val="0"/>
          <w:sz w:val="44"/>
          <w:szCs w:val="44"/>
        </w:rPr>
      </w:pPr>
      <w:r>
        <w:rPr>
          <w:rFonts w:hint="eastAsia" w:ascii="黑体" w:hAnsi="黑体" w:eastAsia="黑体" w:cs="黑体"/>
          <w:b/>
          <w:kern w:val="0"/>
          <w:sz w:val="44"/>
          <w:szCs w:val="44"/>
        </w:rPr>
        <w:t>2021年部门预算说明</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黑体" w:hAnsi="黑体" w:eastAsia="黑体" w:cs="黑体"/>
          <w:b/>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eastAsia="黑体"/>
          <w:bCs/>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sz w:val="32"/>
          <w:szCs w:val="32"/>
        </w:rPr>
        <w:t>1.职能职责。</w:t>
      </w:r>
      <w:r>
        <w:rPr>
          <w:rFonts w:hint="eastAsia" w:ascii="仿宋" w:hAnsi="仿宋" w:eastAsia="仿宋" w:cs="仿宋"/>
          <w:bCs/>
          <w:kern w:val="0"/>
          <w:sz w:val="32"/>
          <w:szCs w:val="32"/>
        </w:rPr>
        <w:t>本部门主要职责是贯彻执行国家、省、市关于统计工作的方针、政策和统计法律、法规和条例；统一领导和协调区域统计和国民经济核算工作；监督检查统计法律、法规的贯彻实施情况，依法查处统计违法行为。完成国家统计调查和地方统计调查的任务，搜集、整理，进行统计分析，提供区域国民经济和社会发展的统计资料，提供统计咨询意见，实施统计监督，发挥统计信息参谋作用，进一步提高宏观经济调控水平。审核区直有关部门的统计调查计划及调查方案。统一核定、管理、公布、出版区域国民经济和社会发展基本统计资料，发布全区国民经济和社会发展情况的统计通报及有关普查和专项调查公报；发布社会经济统计信息。指导各街道、镇、局和各企事业单位加强统计基础建设。参与搞好全区社会经济发展及各街道（镇）的年度、季度考核与评价，负责全区数据评估认定工作。组织协调和统一管理区域统计信息工程和统计数据系统等。完成区委、区政府和上级部门交办的其他工作任务。其二级机构主要职责为组织实施全区人口普查、经济普查、农业普查等各种普查，组织指导全区基本单位等经常性统计工作。</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仿宋" w:hAnsi="仿宋" w:eastAsia="仿宋" w:cs="仿宋"/>
          <w:bCs/>
          <w:kern w:val="0"/>
          <w:sz w:val="32"/>
          <w:szCs w:val="32"/>
          <w:highlight w:val="yellow"/>
          <w:lang w:val="en-US" w:eastAsia="zh-CN"/>
        </w:rPr>
      </w:pPr>
      <w:r>
        <w:rPr>
          <w:rFonts w:hint="eastAsia" w:ascii="仿宋" w:hAnsi="仿宋" w:eastAsia="仿宋" w:cs="仿宋"/>
          <w:b/>
          <w:kern w:val="0"/>
          <w:sz w:val="32"/>
          <w:szCs w:val="32"/>
        </w:rPr>
        <w:t>2、机构设置。</w:t>
      </w:r>
      <w:r>
        <w:rPr>
          <w:rFonts w:hint="eastAsia" w:ascii="仿宋" w:hAnsi="仿宋" w:eastAsia="仿宋" w:cs="仿宋"/>
          <w:bCs/>
          <w:kern w:val="0"/>
          <w:sz w:val="32"/>
          <w:szCs w:val="32"/>
        </w:rPr>
        <w:t>本部门由1个行政单</w:t>
      </w:r>
      <w:r>
        <w:rPr>
          <w:rFonts w:hint="eastAsia" w:ascii="仿宋" w:hAnsi="仿宋" w:eastAsia="仿宋" w:cs="仿宋"/>
          <w:bCs/>
          <w:kern w:val="0"/>
          <w:sz w:val="32"/>
          <w:szCs w:val="32"/>
          <w:highlight w:val="none"/>
        </w:rPr>
        <w:t>位及1个二级机构组成，二级机构包括：开福区统计普查中心。</w:t>
      </w:r>
      <w:r>
        <w:rPr>
          <w:rFonts w:hint="eastAsia" w:ascii="仿宋" w:hAnsi="仿宋" w:eastAsia="仿宋" w:cs="仿宋"/>
          <w:bCs/>
          <w:kern w:val="0"/>
          <w:sz w:val="32"/>
          <w:szCs w:val="32"/>
          <w:highlight w:val="none"/>
          <w:lang w:val="en-US" w:eastAsia="zh-CN"/>
        </w:rPr>
        <w:t>内设机构4个，分别为：办公室、综合科、法规科、民调科。</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3、人员情况。</w:t>
      </w:r>
      <w:r>
        <w:rPr>
          <w:rFonts w:hint="eastAsia" w:ascii="仿宋" w:hAnsi="仿宋" w:eastAsia="仿宋" w:cs="仿宋"/>
          <w:bCs/>
          <w:kern w:val="0"/>
          <w:sz w:val="32"/>
          <w:szCs w:val="32"/>
          <w:highlight w:val="none"/>
        </w:rPr>
        <w:t>本部门编制数1</w:t>
      </w:r>
      <w:r>
        <w:rPr>
          <w:rFonts w:hint="eastAsia" w:ascii="仿宋" w:hAnsi="仿宋" w:eastAsia="仿宋" w:cs="仿宋"/>
          <w:bCs/>
          <w:kern w:val="0"/>
          <w:sz w:val="32"/>
          <w:szCs w:val="32"/>
          <w:highlight w:val="none"/>
          <w:lang w:val="en-US" w:eastAsia="zh-CN"/>
        </w:rPr>
        <w:t>3</w:t>
      </w:r>
      <w:r>
        <w:rPr>
          <w:rFonts w:hint="eastAsia" w:ascii="仿宋" w:hAnsi="仿宋" w:eastAsia="仿宋" w:cs="仿宋"/>
          <w:bCs/>
          <w:kern w:val="0"/>
          <w:sz w:val="32"/>
          <w:szCs w:val="32"/>
          <w:highlight w:val="none"/>
        </w:rPr>
        <w:t>人</w:t>
      </w:r>
      <w:r>
        <w:rPr>
          <w:rFonts w:hint="eastAsia" w:ascii="仿宋" w:hAnsi="仿宋" w:eastAsia="仿宋" w:cs="仿宋"/>
          <w:bCs/>
          <w:kern w:val="0"/>
          <w:sz w:val="32"/>
          <w:szCs w:val="32"/>
        </w:rPr>
        <w:t>，在职人数18人，其中：在岗人数18人；编外长期聘用人员11人；离退休人数2人，其中离休人员0人，退休人员2人。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纳入2021年部门预算编制范围的预算单位包括：</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1、开福区统计局本级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2、开福区统计普查中心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2021年部门预算包括本级预算和所属单位预算在内的汇总情况。收入既包括一般公共预算收入、政府性基金收入和国有资本经营预算收入，又包括事业单位经营服务等收入；支出既包括保障局机关及局属事业单位基本运行的经费，也包括统计局归口管理、面向全区分配的统计基层基础建设、全区人口普查两员补贴等专项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kern w:val="0"/>
          <w:sz w:val="32"/>
          <w:szCs w:val="32"/>
        </w:rPr>
        <w:t>（一）收入预算：</w:t>
      </w:r>
      <w:r>
        <w:rPr>
          <w:rFonts w:hint="eastAsia" w:ascii="仿宋" w:hAnsi="仿宋" w:eastAsia="仿宋" w:cs="仿宋"/>
          <w:bCs/>
          <w:kern w:val="0"/>
          <w:sz w:val="32"/>
          <w:szCs w:val="32"/>
        </w:rPr>
        <w:t>2021年本部门收入预算数887.13万元，其中，一般公共预算拨款887.13万元，政府性基金预算拨款0万元，国有资本经营预算拨款0万元，纳入专户管</w:t>
      </w:r>
      <w:r>
        <w:rPr>
          <w:rFonts w:hint="eastAsia" w:ascii="仿宋" w:hAnsi="仿宋" w:eastAsia="仿宋" w:cs="仿宋"/>
          <w:bCs/>
          <w:color w:val="auto"/>
          <w:kern w:val="0"/>
          <w:sz w:val="32"/>
          <w:szCs w:val="32"/>
        </w:rPr>
        <w:t>理的非税收入0万元。收入较去年增加149.1万元，</w:t>
      </w:r>
      <w:r>
        <w:rPr>
          <w:rFonts w:hint="eastAsia" w:ascii="仿宋" w:hAnsi="仿宋" w:eastAsia="仿宋" w:cs="仿宋"/>
          <w:bCs/>
          <w:color w:val="auto"/>
          <w:kern w:val="0"/>
          <w:sz w:val="32"/>
          <w:szCs w:val="32"/>
          <w:highlight w:val="none"/>
        </w:rPr>
        <w:t>增长20.20%，</w:t>
      </w:r>
      <w:r>
        <w:rPr>
          <w:rFonts w:hint="eastAsia" w:ascii="仿宋" w:hAnsi="仿宋" w:eastAsia="仿宋" w:cs="仿宋"/>
          <w:bCs/>
          <w:color w:val="auto"/>
          <w:kern w:val="0"/>
          <w:sz w:val="32"/>
          <w:szCs w:val="32"/>
        </w:rPr>
        <w:t>主要是一般公共预算拨款增加。</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color w:val="auto"/>
          <w:kern w:val="0"/>
          <w:sz w:val="32"/>
          <w:szCs w:val="32"/>
        </w:rPr>
        <w:t>（二）支出预算：</w:t>
      </w:r>
      <w:r>
        <w:rPr>
          <w:rFonts w:hint="eastAsia" w:ascii="仿宋" w:hAnsi="仿宋" w:eastAsia="仿宋" w:cs="仿宋"/>
          <w:bCs/>
          <w:color w:val="auto"/>
          <w:kern w:val="0"/>
          <w:sz w:val="32"/>
          <w:szCs w:val="32"/>
        </w:rPr>
        <w:t>2021年本部门支出预算数887.13万元，其中，一般公共服务829.78万元，社会保障和就业支出15.73万元、住房保障支出41.61。本年支出预算数比上年增加149.1万元，</w:t>
      </w:r>
      <w:r>
        <w:rPr>
          <w:rFonts w:hint="eastAsia" w:ascii="仿宋" w:hAnsi="仿宋" w:eastAsia="仿宋" w:cs="仿宋"/>
          <w:bCs/>
          <w:color w:val="auto"/>
          <w:kern w:val="0"/>
          <w:sz w:val="32"/>
          <w:szCs w:val="32"/>
          <w:highlight w:val="none"/>
        </w:rPr>
        <w:t>增长20.20%</w:t>
      </w:r>
      <w:r>
        <w:rPr>
          <w:rFonts w:hint="eastAsia" w:ascii="仿宋" w:hAnsi="仿宋" w:eastAsia="仿宋" w:cs="仿宋"/>
          <w:bCs/>
          <w:color w:val="auto"/>
          <w:kern w:val="0"/>
          <w:sz w:val="32"/>
          <w:szCs w:val="32"/>
        </w:rPr>
        <w:t>，支</w:t>
      </w:r>
      <w:r>
        <w:rPr>
          <w:rFonts w:hint="eastAsia" w:ascii="仿宋" w:hAnsi="仿宋" w:eastAsia="仿宋" w:cs="仿宋"/>
          <w:bCs/>
          <w:kern w:val="0"/>
          <w:sz w:val="32"/>
          <w:szCs w:val="32"/>
        </w:rPr>
        <w:t>出增加的主要原因是增加了专项普查活动支出。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四、一般公共预算拨款支出预算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2021年一般公共预算拨款收入887.13万元，</w:t>
      </w:r>
      <w:r>
        <w:rPr>
          <w:rFonts w:hint="eastAsia" w:ascii="仿宋" w:hAnsi="仿宋" w:eastAsia="仿宋" w:cs="仿宋"/>
          <w:bCs/>
          <w:color w:val="auto"/>
          <w:kern w:val="0"/>
          <w:sz w:val="32"/>
          <w:szCs w:val="32"/>
          <w:highlight w:val="none"/>
        </w:rPr>
        <w:t>一般公共服务829.78万元，占93.54%，社会保障和就业支出15.73万元，占1.77%，住房保障支出41.61，占4.69%</w:t>
      </w:r>
      <w:r>
        <w:rPr>
          <w:rFonts w:hint="eastAsia" w:ascii="仿宋" w:hAnsi="仿宋" w:eastAsia="仿宋" w:cs="仿宋"/>
          <w:bCs/>
          <w:color w:val="auto"/>
          <w:kern w:val="0"/>
          <w:sz w:val="32"/>
          <w:szCs w:val="32"/>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（一）基本支出：</w:t>
      </w:r>
      <w:r>
        <w:rPr>
          <w:rFonts w:hint="eastAsia" w:ascii="仿宋" w:hAnsi="仿宋" w:eastAsia="仿宋" w:cs="仿宋"/>
          <w:bCs/>
          <w:kern w:val="0"/>
          <w:sz w:val="32"/>
          <w:szCs w:val="32"/>
        </w:rPr>
        <w:t>2021年预算数为667.13万元，是指为保障单位机构正常运转、完成日常工作任务而发生的各项支出，包括用于基本工资、津贴补贴等人员经费以及办公费、印刷费、水电费、办公设备购置等日常公用经费。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（二）项目支出：</w:t>
      </w:r>
      <w:r>
        <w:rPr>
          <w:rFonts w:hint="eastAsia" w:ascii="仿宋" w:hAnsi="仿宋" w:eastAsia="仿宋" w:cs="仿宋"/>
          <w:bCs/>
          <w:kern w:val="0"/>
          <w:sz w:val="32"/>
          <w:szCs w:val="32"/>
        </w:rPr>
        <w:t>2021年预算数为220万元，是指单位为完成特定行政工作任务或事业发展目标而发生的支出，其中：统计专项经费100万元，主要用于统计信息日常专项工作；专项普查支出120万元，用于第七次全国人口普查。</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highlight w:val="none"/>
        </w:rPr>
      </w:pPr>
      <w:r>
        <w:rPr>
          <w:rFonts w:eastAsia="黑体"/>
          <w:color w:val="auto"/>
          <w:sz w:val="32"/>
          <w:szCs w:val="32"/>
          <w:highlight w:val="none"/>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（一）机关运行经费：</w:t>
      </w:r>
      <w:r>
        <w:rPr>
          <w:rFonts w:hint="eastAsia" w:ascii="仿宋" w:hAnsi="仿宋" w:eastAsia="仿宋" w:cs="仿宋"/>
          <w:bCs/>
          <w:kern w:val="0"/>
          <w:sz w:val="32"/>
          <w:szCs w:val="32"/>
        </w:rPr>
        <w:t>2021年局机关（行政单位）以及二级机构的机关运行经费财政拨款预算54.73万元，比2020年预算增加1.73万</w:t>
      </w:r>
      <w:r>
        <w:rPr>
          <w:rFonts w:hint="eastAsia" w:ascii="仿宋" w:hAnsi="仿宋" w:eastAsia="仿宋" w:cs="仿宋"/>
          <w:bCs/>
          <w:color w:val="auto"/>
          <w:kern w:val="0"/>
          <w:sz w:val="32"/>
          <w:szCs w:val="32"/>
        </w:rPr>
        <w:t>元，</w:t>
      </w:r>
      <w:r>
        <w:rPr>
          <w:rFonts w:hint="eastAsia" w:ascii="仿宋" w:hAnsi="仿宋" w:eastAsia="仿宋" w:cs="仿宋"/>
          <w:bCs/>
          <w:color w:val="auto"/>
          <w:kern w:val="0"/>
          <w:sz w:val="32"/>
          <w:szCs w:val="32"/>
          <w:highlight w:val="none"/>
        </w:rPr>
        <w:t>增长3.26%</w:t>
      </w:r>
      <w:r>
        <w:rPr>
          <w:rFonts w:hint="eastAsia" w:ascii="仿宋" w:hAnsi="仿宋" w:eastAsia="仿宋" w:cs="仿宋"/>
          <w:bCs/>
          <w:color w:val="auto"/>
          <w:kern w:val="0"/>
          <w:sz w:val="32"/>
          <w:szCs w:val="32"/>
        </w:rPr>
        <w:t>。</w:t>
      </w:r>
      <w:r>
        <w:rPr>
          <w:rFonts w:hint="eastAsia" w:ascii="仿宋" w:hAnsi="仿宋" w:eastAsia="仿宋" w:cs="仿宋"/>
          <w:bCs/>
          <w:kern w:val="0"/>
          <w:sz w:val="32"/>
          <w:szCs w:val="32"/>
        </w:rPr>
        <w:t>主要原因是增加了人员办公费。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（二）“三公”经费预算：</w:t>
      </w:r>
      <w:r>
        <w:rPr>
          <w:rFonts w:hint="eastAsia" w:ascii="仿宋" w:hAnsi="仿宋" w:eastAsia="仿宋" w:cs="仿宋"/>
          <w:bCs/>
          <w:kern w:val="0"/>
          <w:sz w:val="32"/>
          <w:szCs w:val="32"/>
        </w:rPr>
        <w:t>2021年“三公”经费预算数为0万元，其中，公务接待费0万元，公务用车购置及运行费0万元（其中，公务用车购置费0万元，公务用车运行费0万元），因公出国（境）费0万元。2021年“三公”经费预算较2020年减少0.4万元，主要原因是公务接待减少。  </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bCs/>
          <w:kern w:val="0"/>
          <w:sz w:val="32"/>
          <w:szCs w:val="32"/>
          <w:highlight w:val="none"/>
          <w:u w:val="none"/>
        </w:rPr>
      </w:pPr>
      <w:r>
        <w:rPr>
          <w:rFonts w:hint="eastAsia" w:ascii="仿宋" w:hAnsi="仿宋" w:eastAsia="仿宋" w:cs="仿宋"/>
          <w:b/>
          <w:sz w:val="32"/>
          <w:szCs w:val="32"/>
          <w:highlight w:val="none"/>
          <w:u w:val="none"/>
        </w:rPr>
        <w:t>（三）一般性支出情况：2021</w:t>
      </w:r>
      <w:r>
        <w:rPr>
          <w:rFonts w:hint="eastAsia" w:ascii="仿宋" w:hAnsi="仿宋" w:eastAsia="仿宋" w:cs="仿宋"/>
          <w:kern w:val="0"/>
          <w:sz w:val="32"/>
          <w:szCs w:val="32"/>
          <w:highlight w:val="none"/>
          <w:u w:val="none"/>
        </w:rPr>
        <w:t>年本部门会议费预算</w:t>
      </w:r>
      <w:r>
        <w:rPr>
          <w:rFonts w:hint="eastAsia" w:ascii="仿宋" w:hAnsi="仿宋" w:eastAsia="仿宋" w:cs="仿宋"/>
          <w:sz w:val="32"/>
          <w:szCs w:val="32"/>
          <w:highlight w:val="none"/>
          <w:u w:val="none"/>
          <w:lang w:val="en-US" w:eastAsia="zh-CN"/>
        </w:rPr>
        <w:t>1</w:t>
      </w:r>
      <w:r>
        <w:rPr>
          <w:rFonts w:hint="eastAsia" w:ascii="仿宋" w:hAnsi="仿宋" w:eastAsia="仿宋" w:cs="仿宋"/>
          <w:kern w:val="0"/>
          <w:sz w:val="32"/>
          <w:szCs w:val="32"/>
          <w:highlight w:val="none"/>
          <w:u w:val="none"/>
        </w:rPr>
        <w:t>万元，拟召开</w:t>
      </w:r>
      <w:r>
        <w:rPr>
          <w:rFonts w:hint="eastAsia" w:ascii="仿宋" w:hAnsi="仿宋" w:eastAsia="仿宋" w:cs="仿宋"/>
          <w:sz w:val="32"/>
          <w:szCs w:val="32"/>
          <w:highlight w:val="none"/>
          <w:u w:val="none"/>
          <w:lang w:eastAsia="zh-CN"/>
        </w:rPr>
        <w:t>重点企业联系</w:t>
      </w:r>
      <w:r>
        <w:rPr>
          <w:rFonts w:hint="eastAsia" w:ascii="仿宋" w:hAnsi="仿宋" w:eastAsia="仿宋" w:cs="仿宋"/>
          <w:kern w:val="0"/>
          <w:sz w:val="32"/>
          <w:szCs w:val="32"/>
          <w:highlight w:val="none"/>
          <w:u w:val="none"/>
        </w:rPr>
        <w:t>会议，人数</w:t>
      </w:r>
      <w:r>
        <w:rPr>
          <w:rFonts w:hint="eastAsia" w:ascii="仿宋" w:hAnsi="仿宋" w:eastAsia="仿宋" w:cs="仿宋"/>
          <w:sz w:val="32"/>
          <w:szCs w:val="32"/>
          <w:highlight w:val="none"/>
          <w:u w:val="none"/>
          <w:lang w:val="en-US" w:eastAsia="zh-CN"/>
        </w:rPr>
        <w:t>100</w:t>
      </w:r>
      <w:r>
        <w:rPr>
          <w:rFonts w:hint="eastAsia" w:ascii="仿宋" w:hAnsi="仿宋" w:eastAsia="仿宋" w:cs="仿宋"/>
          <w:kern w:val="0"/>
          <w:sz w:val="32"/>
          <w:szCs w:val="32"/>
          <w:highlight w:val="none"/>
          <w:u w:val="none"/>
        </w:rPr>
        <w:t>人，内容为</w:t>
      </w:r>
      <w:r>
        <w:rPr>
          <w:rFonts w:hint="eastAsia" w:ascii="仿宋" w:hAnsi="仿宋" w:eastAsia="仿宋" w:cs="仿宋"/>
          <w:kern w:val="0"/>
          <w:sz w:val="32"/>
          <w:szCs w:val="32"/>
          <w:highlight w:val="none"/>
          <w:u w:val="none"/>
          <w:lang w:eastAsia="zh-CN"/>
        </w:rPr>
        <w:t>重点企业座谈</w:t>
      </w:r>
      <w:r>
        <w:rPr>
          <w:rFonts w:hint="eastAsia" w:ascii="仿宋" w:hAnsi="仿宋" w:eastAsia="仿宋" w:cs="仿宋"/>
          <w:kern w:val="0"/>
          <w:sz w:val="32"/>
          <w:szCs w:val="32"/>
          <w:highlight w:val="none"/>
          <w:u w:val="none"/>
        </w:rPr>
        <w:t>；培训费预算</w:t>
      </w:r>
      <w:r>
        <w:rPr>
          <w:rFonts w:hint="eastAsia" w:ascii="仿宋" w:hAnsi="仿宋" w:eastAsia="仿宋" w:cs="仿宋"/>
          <w:sz w:val="32"/>
          <w:szCs w:val="32"/>
          <w:highlight w:val="none"/>
          <w:u w:val="none"/>
          <w:lang w:val="en-US" w:eastAsia="zh-CN"/>
        </w:rPr>
        <w:t>10</w:t>
      </w:r>
      <w:r>
        <w:rPr>
          <w:rFonts w:hint="eastAsia" w:ascii="仿宋" w:hAnsi="仿宋" w:eastAsia="仿宋" w:cs="仿宋"/>
          <w:kern w:val="0"/>
          <w:sz w:val="32"/>
          <w:szCs w:val="32"/>
          <w:highlight w:val="none"/>
          <w:u w:val="none"/>
        </w:rPr>
        <w:t>万元，拟开展</w:t>
      </w:r>
      <w:r>
        <w:rPr>
          <w:rFonts w:hint="eastAsia" w:ascii="仿宋" w:hAnsi="仿宋" w:eastAsia="仿宋" w:cs="仿宋"/>
          <w:sz w:val="32"/>
          <w:szCs w:val="32"/>
          <w:highlight w:val="none"/>
          <w:u w:val="none"/>
          <w:lang w:eastAsia="zh-CN"/>
        </w:rPr>
        <w:t>统计业务</w:t>
      </w:r>
      <w:r>
        <w:rPr>
          <w:rFonts w:hint="eastAsia" w:ascii="仿宋" w:hAnsi="仿宋" w:eastAsia="仿宋" w:cs="仿宋"/>
          <w:kern w:val="0"/>
          <w:sz w:val="32"/>
          <w:szCs w:val="32"/>
          <w:highlight w:val="none"/>
          <w:u w:val="none"/>
        </w:rPr>
        <w:t>培训，人数</w:t>
      </w:r>
      <w:r>
        <w:rPr>
          <w:rFonts w:hint="eastAsia" w:ascii="仿宋" w:hAnsi="仿宋" w:eastAsia="仿宋" w:cs="仿宋"/>
          <w:sz w:val="32"/>
          <w:szCs w:val="32"/>
          <w:highlight w:val="none"/>
          <w:u w:val="none"/>
          <w:lang w:val="en-US" w:eastAsia="zh-CN"/>
        </w:rPr>
        <w:t>1200</w:t>
      </w:r>
      <w:r>
        <w:rPr>
          <w:rFonts w:hint="eastAsia" w:ascii="仿宋" w:hAnsi="仿宋" w:eastAsia="仿宋" w:cs="仿宋"/>
          <w:kern w:val="0"/>
          <w:sz w:val="32"/>
          <w:szCs w:val="32"/>
          <w:highlight w:val="none"/>
          <w:u w:val="none"/>
        </w:rPr>
        <w:t>人，内容为</w:t>
      </w:r>
      <w:r>
        <w:rPr>
          <w:rFonts w:hint="eastAsia" w:ascii="仿宋" w:hAnsi="仿宋" w:eastAsia="仿宋" w:cs="仿宋"/>
          <w:sz w:val="32"/>
          <w:szCs w:val="32"/>
          <w:highlight w:val="none"/>
          <w:u w:val="none"/>
          <w:lang w:eastAsia="zh-CN"/>
        </w:rPr>
        <w:t>各专业统计年报和定报报表制度培训</w:t>
      </w:r>
      <w:r>
        <w:rPr>
          <w:rFonts w:hint="eastAsia" w:ascii="仿宋" w:hAnsi="仿宋" w:eastAsia="仿宋" w:cs="仿宋"/>
          <w:kern w:val="0"/>
          <w:sz w:val="32"/>
          <w:szCs w:val="32"/>
          <w:highlight w:val="none"/>
          <w:u w:val="none"/>
        </w:rPr>
        <w:t>；</w:t>
      </w:r>
      <w:r>
        <w:rPr>
          <w:rFonts w:hint="eastAsia" w:ascii="仿宋" w:hAnsi="仿宋" w:eastAsia="仿宋" w:cs="仿宋"/>
          <w:kern w:val="0"/>
          <w:sz w:val="32"/>
          <w:szCs w:val="32"/>
          <w:highlight w:val="none"/>
          <w:u w:val="none"/>
          <w:lang w:eastAsia="zh-CN"/>
        </w:rPr>
        <w:t>无</w:t>
      </w:r>
      <w:r>
        <w:rPr>
          <w:rFonts w:hint="eastAsia" w:ascii="仿宋" w:hAnsi="仿宋" w:eastAsia="仿宋" w:cs="仿宋"/>
          <w:kern w:val="0"/>
          <w:sz w:val="32"/>
          <w:szCs w:val="32"/>
          <w:highlight w:val="none"/>
          <w:u w:val="none"/>
        </w:rPr>
        <w:t>节庆、晚会、论坛、赛事活动</w:t>
      </w:r>
      <w:r>
        <w:rPr>
          <w:rFonts w:hint="eastAsia" w:ascii="仿宋" w:hAnsi="仿宋" w:eastAsia="仿宋" w:cs="仿宋"/>
          <w:kern w:val="0"/>
          <w:sz w:val="32"/>
          <w:szCs w:val="32"/>
          <w:highlight w:val="none"/>
          <w:u w:val="none"/>
          <w:lang w:eastAsia="zh-CN"/>
        </w:rPr>
        <w:t>等</w:t>
      </w:r>
      <w:r>
        <w:rPr>
          <w:rFonts w:hint="eastAsia" w:ascii="仿宋" w:hAnsi="仿宋" w:eastAsia="仿宋" w:cs="仿宋"/>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（四）政府采购情况：</w:t>
      </w:r>
      <w:r>
        <w:rPr>
          <w:rFonts w:hint="eastAsia" w:ascii="仿宋" w:hAnsi="仿宋" w:eastAsia="仿宋" w:cs="仿宋"/>
          <w:bCs/>
          <w:kern w:val="0"/>
          <w:sz w:val="32"/>
          <w:szCs w:val="32"/>
        </w:rPr>
        <w:t>2021年统计局政府采购预算总额0.4万元，其中：政府采购货物预算0.4万元、政府采购工程预算0万元、政府采购服务预算0万元。</w:t>
      </w:r>
    </w:p>
    <w:p>
      <w:pPr>
        <w:keepNext w:val="0"/>
        <w:keepLines w:val="0"/>
        <w:pageBreakBefore w:val="0"/>
        <w:widowControl/>
        <w:kinsoku/>
        <w:wordWrap/>
        <w:overflowPunct/>
        <w:topLinePunct w:val="0"/>
        <w:autoSpaceDE/>
        <w:autoSpaceDN/>
        <w:bidi w:val="0"/>
        <w:adjustRightInd/>
        <w:snapToGrid/>
        <w:spacing w:line="600" w:lineRule="exact"/>
        <w:ind w:firstLine="658"/>
        <w:textAlignment w:val="auto"/>
        <w:rPr>
          <w:rFonts w:ascii="仿宋" w:hAnsi="仿宋" w:eastAsia="仿宋" w:cs="仿宋"/>
          <w:bCs/>
          <w:color w:val="auto"/>
          <w:kern w:val="0"/>
          <w:sz w:val="32"/>
          <w:szCs w:val="32"/>
        </w:rPr>
      </w:pPr>
      <w:r>
        <w:rPr>
          <w:rFonts w:hint="eastAsia" w:ascii="仿宋" w:hAnsi="仿宋" w:eastAsia="仿宋" w:cs="仿宋"/>
          <w:b/>
          <w:color w:val="auto"/>
          <w:sz w:val="32"/>
          <w:szCs w:val="32"/>
        </w:rPr>
        <w:t>（五）国有资产占用使用及新增资产配置情况：</w:t>
      </w:r>
      <w:r>
        <w:rPr>
          <w:rFonts w:hint="eastAsia" w:ascii="仿宋" w:hAnsi="仿宋" w:eastAsia="仿宋" w:cs="仿宋"/>
          <w:color w:val="auto"/>
          <w:sz w:val="32"/>
          <w:szCs w:val="32"/>
        </w:rPr>
        <w:t>截至2020年12月底，本部门</w:t>
      </w:r>
      <w:r>
        <w:rPr>
          <w:rFonts w:hint="eastAsia" w:ascii="仿宋" w:hAnsi="仿宋" w:eastAsia="仿宋" w:cs="仿宋"/>
          <w:bCs/>
          <w:color w:val="auto"/>
          <w:kern w:val="0"/>
          <w:sz w:val="32"/>
          <w:szCs w:val="32"/>
        </w:rPr>
        <w:t>共有公务用车0辆，其中，机要通信用车0辆，应急保障用车0辆，执法执勤用车0辆，特种专业技术用车0辆，其他按照规定配备的公务用车0辆；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bCs/>
          <w:color w:val="auto"/>
          <w:kern w:val="0"/>
          <w:sz w:val="32"/>
          <w:szCs w:val="32"/>
        </w:rPr>
        <w:t>（六）预算绩效目标说明：</w:t>
      </w:r>
      <w:r>
        <w:rPr>
          <w:rFonts w:hint="eastAsia" w:ascii="仿宋" w:hAnsi="仿宋" w:eastAsia="仿宋" w:cs="仿宋"/>
          <w:bCs/>
          <w:color w:val="auto"/>
          <w:kern w:val="0"/>
          <w:sz w:val="32"/>
          <w:szCs w:val="32"/>
        </w:rPr>
        <w:t>2021年长沙市开福区统计局整体支出绩效目标887.13万元</w:t>
      </w:r>
      <w:r>
        <w:rPr>
          <w:rFonts w:hint="eastAsia" w:ascii="仿宋" w:hAnsi="仿宋" w:eastAsia="仿宋" w:cs="仿宋"/>
          <w:bCs/>
          <w:color w:val="auto"/>
          <w:kern w:val="0"/>
          <w:sz w:val="32"/>
          <w:szCs w:val="32"/>
          <w:highlight w:val="none"/>
        </w:rPr>
        <w:t>，其中：基本支出667.13万元，项目支出220万元</w:t>
      </w:r>
      <w:r>
        <w:rPr>
          <w:rFonts w:hint="eastAsia" w:ascii="仿宋" w:hAnsi="仿宋" w:eastAsia="仿宋" w:cs="仿宋"/>
          <w:bCs/>
          <w:color w:val="auto"/>
          <w:kern w:val="0"/>
          <w:sz w:val="32"/>
          <w:szCs w:val="32"/>
        </w:rPr>
        <w:t>。全部实行整体支出绩效目标管理，涉及一般公共预算当年拨款887.13万元。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2021年长沙市开福区统计局项目支出绩效目标220万元，其中：业务工作经费220万元，运行维护经费0万元。全部实行项目支出绩效目标管理，涉及一般公共预算当年拨款220万元。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（七）预算绩效管理情况：</w:t>
      </w:r>
      <w:r>
        <w:rPr>
          <w:rFonts w:hint="eastAsia" w:ascii="仿宋" w:hAnsi="仿宋" w:eastAsia="仿宋" w:cs="仿宋"/>
          <w:bCs/>
          <w:color w:val="auto"/>
          <w:kern w:val="0"/>
          <w:sz w:val="32"/>
          <w:szCs w:val="32"/>
        </w:rPr>
        <w:t>按照市本级预算绩效管理工作的总体要求，2021年统计局整体支出887.13万元，</w:t>
      </w:r>
      <w:r>
        <w:rPr>
          <w:rFonts w:hint="eastAsia" w:ascii="仿宋" w:hAnsi="仿宋" w:eastAsia="仿宋" w:cs="仿宋"/>
          <w:bCs/>
          <w:color w:val="auto"/>
          <w:kern w:val="0"/>
          <w:sz w:val="32"/>
          <w:szCs w:val="32"/>
          <w:lang w:eastAsia="zh-CN"/>
        </w:rPr>
        <w:t>其中，基本支出</w:t>
      </w:r>
      <w:r>
        <w:rPr>
          <w:rFonts w:hint="eastAsia" w:ascii="仿宋" w:hAnsi="仿宋" w:eastAsia="仿宋" w:cs="仿宋"/>
          <w:bCs/>
          <w:color w:val="auto"/>
          <w:kern w:val="0"/>
          <w:sz w:val="32"/>
          <w:szCs w:val="32"/>
          <w:lang w:val="en-US" w:eastAsia="zh-CN"/>
        </w:rPr>
        <w:t>667.13万元，项目支出220万元，</w:t>
      </w:r>
      <w:r>
        <w:rPr>
          <w:rFonts w:hint="eastAsia" w:ascii="仿宋" w:hAnsi="仿宋" w:eastAsia="仿宋" w:cs="仿宋"/>
          <w:bCs/>
          <w:color w:val="auto"/>
          <w:kern w:val="0"/>
          <w:sz w:val="32"/>
          <w:szCs w:val="32"/>
        </w:rPr>
        <w:t>全部实行整体支出绩效目标管理。编报绩效目标的项目6个，涉及项目支出220万元，其中：统计监测、统计调查、企业联网直报经费36万元、统计年报经费10万元、统计内网、电脑维护经费6万元、街道统计综合考核经费3万元、第七次全国人口普查120万元、社情民意调查45万元，全部实行项目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七、名词解释</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color w:val="auto"/>
          <w:kern w:val="0"/>
          <w:sz w:val="32"/>
          <w:szCs w:val="32"/>
        </w:rPr>
        <w:t>（一）一般公共预算拨款收入：指开</w:t>
      </w:r>
      <w:r>
        <w:rPr>
          <w:rFonts w:hint="eastAsia" w:ascii="仿宋" w:hAnsi="仿宋" w:eastAsia="仿宋" w:cs="仿宋"/>
          <w:bCs/>
          <w:kern w:val="0"/>
          <w:sz w:val="32"/>
          <w:szCs w:val="32"/>
        </w:rPr>
        <w:t>福区财政当年拨付的资金。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（二）基本支出：指为保障机构正常运转、完成日常工作任务而发生的人员支出和公用支出。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（三）项目支出：指在基本支出之外为完成特定行政任务和事业发展目标所发生的支出。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四）“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五）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widowControl/>
        <w:spacing w:line="600" w:lineRule="exact"/>
        <w:ind w:firstLine="640" w:firstLineChars="200"/>
        <w:rPr>
          <w:rFonts w:ascii="仿宋" w:hAnsi="仿宋" w:eastAsia="仿宋" w:cs="仿宋"/>
          <w:bCs/>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abstractNum w:abstractNumId="1">
    <w:nsid w:val="7F10939A"/>
    <w:multiLevelType w:val="singleLevel"/>
    <w:tmpl w:val="7F10939A"/>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NiMTE4YmNjY2YwZWRjMGUyZDc2ZDIzNzM1NDY4OGQifQ=="/>
  </w:docVars>
  <w:rsids>
    <w:rsidRoot w:val="00541CBD"/>
    <w:rsid w:val="00242575"/>
    <w:rsid w:val="002C16FA"/>
    <w:rsid w:val="00350716"/>
    <w:rsid w:val="00541CBD"/>
    <w:rsid w:val="00801F84"/>
    <w:rsid w:val="00A355DD"/>
    <w:rsid w:val="00F97F70"/>
    <w:rsid w:val="07CB75D7"/>
    <w:rsid w:val="0C6805B7"/>
    <w:rsid w:val="14DE5AE4"/>
    <w:rsid w:val="15C663D1"/>
    <w:rsid w:val="1D567470"/>
    <w:rsid w:val="23B72C55"/>
    <w:rsid w:val="280B656E"/>
    <w:rsid w:val="2EA901B0"/>
    <w:rsid w:val="31B705FF"/>
    <w:rsid w:val="394B590E"/>
    <w:rsid w:val="4D5F4656"/>
    <w:rsid w:val="604A230C"/>
    <w:rsid w:val="74D52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3 Char"/>
    <w:basedOn w:val="7"/>
    <w:link w:val="2"/>
    <w:qFormat/>
    <w:uiPriority w:val="9"/>
    <w:rPr>
      <w:rFonts w:ascii="宋体" w:hAnsi="宋体" w:eastAsia="宋体" w:cs="宋体"/>
      <w:b/>
      <w:bCs/>
      <w:kern w:val="0"/>
      <w:sz w:val="27"/>
      <w:szCs w:val="27"/>
    </w:rPr>
  </w:style>
  <w:style w:type="character" w:customStyle="1" w:styleId="9">
    <w:name w:val="kf_sj"/>
    <w:basedOn w:val="7"/>
    <w:qFormat/>
    <w:uiPriority w:val="0"/>
  </w:style>
  <w:style w:type="character" w:customStyle="1" w:styleId="10">
    <w:name w:val="kf_ly"/>
    <w:basedOn w:val="7"/>
    <w:qFormat/>
    <w:uiPriority w:val="0"/>
  </w:style>
  <w:style w:type="character" w:customStyle="1" w:styleId="11">
    <w:name w:val="页眉 Char"/>
    <w:basedOn w:val="7"/>
    <w:link w:val="4"/>
    <w:qFormat/>
    <w:uiPriority w:val="99"/>
    <w:rPr>
      <w:kern w:val="2"/>
      <w:sz w:val="18"/>
      <w:szCs w:val="18"/>
    </w:rPr>
  </w:style>
  <w:style w:type="character" w:customStyle="1" w:styleId="12">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3050</Words>
  <Characters>3289</Characters>
  <Lines>23</Lines>
  <Paragraphs>6</Paragraphs>
  <TotalTime>6</TotalTime>
  <ScaleCrop>false</ScaleCrop>
  <LinksUpToDate>false</LinksUpToDate>
  <CharactersWithSpaces>3294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2022-06-28T13:14:00Z</dcterms:created>
  <dc:creator>Administrator</dc:creator>
  <cp:lastModifiedBy>亮</cp:lastModifiedBy>
  <dcterms:modified xsi:type="dcterms:W3CDTF">2022-08-19T02:20:09Z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F699C41A8A5B4021AB61320CDF697036</vt:lpwstr>
  </property>
</Properties>
</file>