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重点项目</w:t>
      </w:r>
      <w:r>
        <w:rPr>
          <w:rFonts w:hint="eastAsia" w:ascii="方正小标宋简体" w:eastAsia="方正小标宋简体"/>
          <w:sz w:val="44"/>
          <w:szCs w:val="44"/>
        </w:rPr>
        <w:t>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kern w:val="0"/>
          <w:sz w:val="32"/>
          <w:szCs w:val="32"/>
        </w:rPr>
      </w:pPr>
      <w:r>
        <w:rPr>
          <w:rFonts w:hint="eastAsia" w:ascii="仿宋_GB2312"/>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项目支出</w:t>
      </w:r>
      <w:r>
        <w:rPr>
          <w:rFonts w:ascii="Times New Roman" w:hAnsi="Times New Roman" w:eastAsia="楷体_GB2312" w:cs="Times New Roman"/>
          <w:b w:val="0"/>
          <w:bCs/>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2021</w:t>
      </w:r>
      <w:r>
        <w:rPr>
          <w:rFonts w:hint="eastAsia" w:ascii="Times New Roman" w:hAnsi="Times New Roman" w:cs="Times New Roman"/>
          <w:sz w:val="32"/>
          <w:szCs w:val="32"/>
          <w:lang w:val="en-US" w:eastAsia="zh-CN"/>
        </w:rPr>
        <w:t>年我单位（局、部、中心）项目支出预算共</w:t>
      </w:r>
      <w:r>
        <w:rPr>
          <w:rFonts w:hint="eastAsia" w:ascii="Times New Roman" w:hAnsi="Times New Roman" w:cs="Times New Roman"/>
          <w:sz w:val="32"/>
          <w:szCs w:val="32"/>
          <w:u w:val="single"/>
          <w:lang w:val="en-US" w:eastAsia="zh-CN"/>
        </w:rPr>
        <w:t xml:space="preserve"> 250.2 </w:t>
      </w:r>
      <w:r>
        <w:rPr>
          <w:rFonts w:hint="eastAsia" w:ascii="Times New Roman" w:hAnsi="Times New Roman" w:cs="Times New Roman"/>
          <w:sz w:val="32"/>
          <w:szCs w:val="32"/>
          <w:lang w:val="en-US" w:eastAsia="zh-CN"/>
        </w:rPr>
        <w:t>万元，包含项目</w:t>
      </w:r>
      <w:r>
        <w:rPr>
          <w:rFonts w:hint="eastAsia" w:ascii="Times New Roman" w:hAnsi="Times New Roman" w:cs="Times New Roman"/>
          <w:sz w:val="32"/>
          <w:szCs w:val="32"/>
          <w:u w:val="single"/>
          <w:lang w:val="en-US" w:eastAsia="zh-CN"/>
        </w:rPr>
        <w:t xml:space="preserve"> 6 </w:t>
      </w:r>
      <w:r>
        <w:rPr>
          <w:rFonts w:hint="eastAsia" w:ascii="Times New Roman" w:hAnsi="Times New Roman" w:cs="Times New Roman"/>
          <w:sz w:val="32"/>
          <w:szCs w:val="32"/>
          <w:u w:val="none"/>
          <w:lang w:val="en-US" w:eastAsia="zh-CN"/>
        </w:rPr>
        <w:t>个，实际支出</w:t>
      </w:r>
      <w:r>
        <w:rPr>
          <w:rFonts w:hint="eastAsia" w:ascii="Times New Roman" w:hAnsi="Times New Roman" w:cs="Times New Roman"/>
          <w:sz w:val="32"/>
          <w:szCs w:val="32"/>
          <w:u w:val="single"/>
          <w:lang w:val="en-US" w:eastAsia="zh-CN"/>
        </w:rPr>
        <w:t xml:space="preserve"> 198.38 </w:t>
      </w:r>
      <w:r>
        <w:rPr>
          <w:rFonts w:hint="eastAsia" w:ascii="Times New Roman" w:hAnsi="Times New Roman" w:cs="Times New Roman"/>
          <w:sz w:val="32"/>
          <w:szCs w:val="32"/>
          <w:lang w:val="en-US" w:eastAsia="zh-CN"/>
        </w:rPr>
        <w:t>万元（</w:t>
      </w:r>
      <w:r>
        <w:rPr>
          <w:rFonts w:hint="eastAsia" w:ascii="Times New Roman" w:hAnsi="Times New Roman" w:cs="Times New Roman"/>
          <w:sz w:val="32"/>
          <w:szCs w:val="32"/>
          <w:lang w:eastAsia="zh-CN"/>
        </w:rPr>
        <w:t>业务工作经费</w:t>
      </w:r>
      <w:r>
        <w:rPr>
          <w:rFonts w:hint="eastAsia" w:ascii="Times New Roman" w:hAnsi="Times New Roman" w:cs="Times New Roman"/>
          <w:sz w:val="32"/>
          <w:szCs w:val="32"/>
          <w:u w:val="single"/>
          <w:lang w:val="en-US" w:eastAsia="zh-CN"/>
        </w:rPr>
        <w:t xml:space="preserve"> 198.38  </w:t>
      </w:r>
      <w:r>
        <w:rPr>
          <w:rFonts w:hint="eastAsia" w:ascii="Times New Roman" w:hAnsi="Times New Roman" w:cs="Times New Roman"/>
          <w:sz w:val="32"/>
          <w:szCs w:val="32"/>
          <w:lang w:val="en-US" w:eastAsia="zh-CN"/>
        </w:rPr>
        <w:t>万元、专项经费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万元、政府专项经费</w:t>
      </w:r>
      <w:r>
        <w:rPr>
          <w:rFonts w:hint="eastAsia" w:ascii="Times New Roman" w:hAnsi="Times New Roman" w:cs="Times New Roman"/>
          <w:sz w:val="32"/>
          <w:szCs w:val="32"/>
          <w:u w:val="single"/>
          <w:lang w:val="en-US" w:eastAsia="zh-CN"/>
        </w:rPr>
        <w:t xml:space="preserve"> 0 </w:t>
      </w:r>
      <w:r>
        <w:rPr>
          <w:rFonts w:hint="eastAsia" w:ascii="Times New Roman" w:hAnsi="Times New Roman" w:cs="Times New Roman"/>
          <w:sz w:val="32"/>
          <w:szCs w:val="32"/>
          <w:lang w:val="en-US" w:eastAsia="zh-CN"/>
        </w:rPr>
        <w:t>万元），涵盖项目</w:t>
      </w:r>
      <w:r>
        <w:rPr>
          <w:rFonts w:hint="eastAsia" w:ascii="Times New Roman" w:hAnsi="Times New Roman" w:cs="Times New Roman"/>
          <w:sz w:val="32"/>
          <w:szCs w:val="32"/>
          <w:u w:val="single"/>
          <w:lang w:val="en-US" w:eastAsia="zh-CN"/>
        </w:rPr>
        <w:t xml:space="preserve"> 6 </w:t>
      </w:r>
      <w:r>
        <w:rPr>
          <w:rFonts w:hint="eastAsia" w:ascii="Times New Roman" w:hAnsi="Times New Roman" w:cs="Times New Roman"/>
          <w:sz w:val="32"/>
          <w:szCs w:val="32"/>
          <w:u w:val="none"/>
          <w:lang w:val="en-US" w:eastAsia="zh-CN"/>
        </w:rPr>
        <w:t>个</w:t>
      </w:r>
      <w:r>
        <w:rPr>
          <w:rFonts w:hint="eastAsia" w:ascii="Times New Roman" w:hAnsi="Times New Roman" w:eastAsia="仿宋_GB2312" w:cs="Times New Roman"/>
          <w:sz w:val="32"/>
          <w:szCs w:val="32"/>
          <w:lang w:eastAsia="zh-CN"/>
        </w:rPr>
        <w:t>。</w:t>
      </w:r>
      <w:r>
        <w:rPr>
          <w:rFonts w:hint="eastAsia" w:ascii="Times New Roman" w:hAnsi="Times New Roman" w:cs="Times New Roman"/>
          <w:sz w:val="32"/>
          <w:szCs w:val="32"/>
          <w:lang w:val="en-US" w:eastAsia="zh-CN"/>
        </w:rPr>
        <w:t>具体情况如下：</w:t>
      </w:r>
    </w:p>
    <w:p>
      <w:pPr>
        <w:spacing w:line="660" w:lineRule="exact"/>
        <w:ind w:firstLine="480" w:firstLineChars="200"/>
        <w:jc w:val="right"/>
        <w:rPr>
          <w:rFonts w:hint="eastAsia" w:ascii="Times New Roman" w:hAnsi="Times New Roman" w:cs="Times New Roman"/>
          <w:sz w:val="32"/>
          <w:szCs w:val="32"/>
          <w:lang w:val="en-US" w:eastAsia="zh-CN"/>
        </w:rPr>
      </w:pPr>
      <w:r>
        <w:rPr>
          <w:rFonts w:hint="eastAsia" w:ascii="Times New Roman" w:hAnsi="Times New Roman" w:cs="Times New Roman"/>
          <w:sz w:val="24"/>
          <w:szCs w:val="24"/>
          <w:lang w:val="en-US" w:eastAsia="zh-CN"/>
        </w:rPr>
        <w:t>金额单位：万元</w:t>
      </w:r>
    </w:p>
    <w:tbl>
      <w:tblPr>
        <w:tblStyle w:val="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64"/>
        <w:gridCol w:w="3623"/>
        <w:gridCol w:w="945"/>
        <w:gridCol w:w="1005"/>
        <w:gridCol w:w="84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项目名称</w:t>
            </w:r>
          </w:p>
        </w:tc>
        <w:tc>
          <w:tcPr>
            <w:tcW w:w="106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623"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50"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1796"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06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623"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4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100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840"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支出总额</w:t>
            </w:r>
          </w:p>
        </w:tc>
        <w:tc>
          <w:tcPr>
            <w:tcW w:w="956"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44"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项目1</w:t>
            </w:r>
          </w:p>
        </w:tc>
        <w:tc>
          <w:tcPr>
            <w:tcW w:w="1064"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623" w:type="dxa"/>
            <w:noWrap w:val="0"/>
            <w:vAlign w:val="center"/>
          </w:tcPr>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主要用于审计系统内统一组织的培</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训；金审三期工程建设和财政联网审</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计网络维护；政府投资审计中心专家</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工资及日常运营；经济责任审计、行</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业审计、指导内审项目；审计外勤经</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费；开展审计项目时委托中介机构以</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及购买审计服务弥补审计力量不足等</w:t>
            </w:r>
          </w:p>
          <w:p>
            <w:pPr>
              <w:spacing w:line="240" w:lineRule="auto"/>
              <w:jc w:val="left"/>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w:t>
            </w:r>
          </w:p>
        </w:tc>
        <w:tc>
          <w:tcPr>
            <w:tcW w:w="945"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250.2</w:t>
            </w:r>
          </w:p>
        </w:tc>
        <w:tc>
          <w:tcPr>
            <w:tcW w:w="1005"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250.2</w:t>
            </w:r>
          </w:p>
        </w:tc>
        <w:tc>
          <w:tcPr>
            <w:tcW w:w="840"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198.38</w:t>
            </w:r>
          </w:p>
        </w:tc>
        <w:tc>
          <w:tcPr>
            <w:tcW w:w="956"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31" w:type="dxa"/>
            <w:gridSpan w:val="3"/>
            <w:noWrap w:val="0"/>
            <w:vAlign w:val="center"/>
          </w:tcPr>
          <w:p>
            <w:pPr>
              <w:tabs>
                <w:tab w:val="left" w:pos="2243"/>
              </w:tabs>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ab/>
            </w:r>
            <w:r>
              <w:rPr>
                <w:rFonts w:hint="eastAsia" w:ascii="Times New Roman" w:hAnsi="Times New Roman" w:cs="Times New Roman"/>
                <w:sz w:val="21"/>
                <w:szCs w:val="21"/>
                <w:vertAlign w:val="baseline"/>
                <w:lang w:val="en-US" w:eastAsia="zh-CN"/>
              </w:rPr>
              <w:t>合计</w:t>
            </w:r>
          </w:p>
        </w:tc>
        <w:tc>
          <w:tcPr>
            <w:tcW w:w="94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250.2</w:t>
            </w:r>
          </w:p>
        </w:tc>
        <w:tc>
          <w:tcPr>
            <w:tcW w:w="100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250.2</w:t>
            </w:r>
          </w:p>
        </w:tc>
        <w:tc>
          <w:tcPr>
            <w:tcW w:w="840"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198.38</w:t>
            </w:r>
          </w:p>
        </w:tc>
        <w:tc>
          <w:tcPr>
            <w:tcW w:w="956"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193.13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val="0"/>
          <w:bCs/>
          <w:sz w:val="32"/>
          <w:szCs w:val="32"/>
          <w:lang w:eastAsia="zh-CN"/>
        </w:rPr>
        <w:t>（二）项目绩效</w:t>
      </w:r>
      <w:r>
        <w:rPr>
          <w:rFonts w:ascii="Times New Roman" w:hAnsi="Times New Roman" w:eastAsia="楷体_GB2312" w:cs="Times New Roman"/>
          <w:b w:val="0"/>
          <w:bCs/>
          <w:sz w:val="32"/>
          <w:szCs w:val="32"/>
        </w:rPr>
        <w:t>目标</w:t>
      </w:r>
      <w:r>
        <w:rPr>
          <w:rFonts w:hint="eastAsia" w:ascii="Times New Roman" w:hAnsi="Times New Roman" w:eastAsia="楷体_GB2312" w:cs="Times New Roman"/>
          <w:b w:val="0"/>
          <w:bCs/>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业务工作经费绩效整体目标：完成2021年审计项目，保证区政府安排的审计项目正常进行，切实发挥审计在服务开福经济高质量发展中的建设性作用。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720" w:leftChars="0" w:hanging="1080" w:firstLineChars="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年度工作安排和项目组织实施进度，资金分批次拨付到位。2021年我单位项目支出年初预算数250.2万元，调整预算数198.38万元，实际支出198.38万元；二是为加强专项经费管理，规范专项资金使用使用，提高资金使用效率，我局进一步建立健全财务管理制度，形成了《开福区审计局专项经费使用管理办法》，办法对专项资金的分配和使用进行了规范，要求专项资金严格按照项目内容使用，使用专项资金时全部通过国库集中支付，确保专款专用，支出合理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绩效评价工作有关要求，我局绩效评价工作由办公室牵头，各业务科室参与，组织业务部门制定了详细工作方案，明确各科室职责，确定绩效目标。二是根据区财政局部署，结合全局业务工作开展情况进行绩效自评，形成绩效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360" w:leftChars="0" w:hanging="720" w:firstLine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2021年，区审计局坚持以习近平新时代中国特色社会主义思想为指导，全面贯彻党的十九大和十九届历次全会精神，认真落实中央、省、市、区关于审计工作的重大决策部署，立足经济监督，依法履职尽责，积极担当作为，有效服务强省会战略，为开福区“高擎发展火炬、奋力迈向北强”事业和高质量发展大局提供坚强审计保障。完成审计项目34个，移送问题线索23条。继续保持“市文明标兵单位”荣誉，荣获市优秀审计项目1个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始终坚持党对审计工作的集中统一领导。注重把讲政治贯穿审计工作始终，进一步完善审计制度，出台《审计监督重大事项请示报告制度》，向区委、区政府报送审计报告17篇、审计专报2篇，发出督促整改函8份，确保审计委员会决策部署落地</w:t>
      </w:r>
      <w:r>
        <w:rPr>
          <w:rFonts w:hint="eastAsia" w:ascii="Times New Roman" w:hAnsi="Times New Roman" w:cs="Times New Roman"/>
          <w:sz w:val="32"/>
          <w:szCs w:val="32"/>
          <w:lang w:eastAsia="zh-CN"/>
        </w:rPr>
        <w:t>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突出促进重大政策措施落实。审计中重点关注外向型经济、科技、文化、楼宇四大类产业发展资金的管理使用情况，揭示相关单位规范性制度缺失、奖励计算口径不一致、2家公司借用他人成果骗取扶持资金等问题，推动出台《开福区推动惠企政策“免申即享”试点工作方案》、《开福区经济发展奖励暂行办法实施细则》及配套办事指南等制度，督促相关单位对奖励政策进行清理整合，要求奖励兑现单位联合审查，有效防范多头申报和同类型重复奖补，助力产业专项资金发挥激励引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突出服务经济高质量发展。</w:t>
      </w:r>
      <w:r>
        <w:rPr>
          <w:rFonts w:hint="eastAsia" w:ascii="Times New Roman" w:hAnsi="Times New Roman" w:eastAsia="仿宋_GB2312" w:cs="Times New Roman"/>
          <w:b/>
          <w:bCs/>
          <w:sz w:val="32"/>
          <w:szCs w:val="32"/>
          <w:lang w:eastAsia="zh-CN"/>
        </w:rPr>
        <w:t>围绕提高财政资金使用绩效，</w:t>
      </w:r>
      <w:r>
        <w:rPr>
          <w:rFonts w:hint="eastAsia" w:ascii="Times New Roman" w:hAnsi="Times New Roman" w:eastAsia="仿宋_GB2312" w:cs="Times New Roman"/>
          <w:sz w:val="32"/>
          <w:szCs w:val="32"/>
          <w:lang w:eastAsia="zh-CN"/>
        </w:rPr>
        <w:t>落实“一级预算单位每年审计一次”要求，通过“1+2+N”的预算执行审计模式，对区公建中心、区文体新局2个单位进行重点审计，采用大数据分析加疑点核查方式对其他70个一级预算单位和16个街道进行审计全覆盖。促进上缴财政653万元，划解国库14300万元，收回存量资金167万元，归还原渠道资金129万元，推动出台制度办法18项。</w:t>
      </w:r>
      <w:r>
        <w:rPr>
          <w:rFonts w:hint="eastAsia" w:ascii="Times New Roman" w:hAnsi="Times New Roman" w:eastAsia="仿宋_GB2312" w:cs="Times New Roman"/>
          <w:b/>
          <w:bCs/>
          <w:sz w:val="32"/>
          <w:szCs w:val="32"/>
          <w:lang w:eastAsia="zh-CN"/>
        </w:rPr>
        <w:t>围绕保障重大项目建设、促进政府投资规范使用，</w:t>
      </w:r>
      <w:r>
        <w:rPr>
          <w:rFonts w:hint="eastAsia" w:ascii="Times New Roman" w:hAnsi="Times New Roman" w:eastAsia="仿宋_GB2312" w:cs="Times New Roman"/>
          <w:sz w:val="32"/>
          <w:szCs w:val="32"/>
          <w:lang w:eastAsia="zh-CN"/>
        </w:rPr>
        <w:t>对区城北投实施的福竹园、湘粤、九龙农民安置房开展阶段性跟踪审计，对2019年至2020年区公建中心新建市政道路情况、区财评2021年4月至9月结算评审项目质量情况开展专项审计调查，涉及48个工程项目，发现问题50个。</w:t>
      </w:r>
      <w:r>
        <w:rPr>
          <w:rFonts w:hint="eastAsia" w:ascii="Times New Roman" w:hAnsi="Times New Roman" w:cs="Times New Roman"/>
          <w:b/>
          <w:bCs/>
          <w:sz w:val="32"/>
          <w:szCs w:val="32"/>
          <w:lang w:eastAsia="zh-CN"/>
        </w:rPr>
        <w:t>围绕</w:t>
      </w:r>
      <w:r>
        <w:rPr>
          <w:rFonts w:hint="eastAsia" w:ascii="Times New Roman" w:hAnsi="Times New Roman" w:eastAsia="仿宋_GB2312" w:cs="Times New Roman"/>
          <w:b/>
          <w:bCs/>
          <w:sz w:val="32"/>
          <w:szCs w:val="32"/>
          <w:lang w:eastAsia="zh-CN"/>
        </w:rPr>
        <w:t>规范单位财务收支管理，</w:t>
      </w:r>
      <w:r>
        <w:rPr>
          <w:rFonts w:hint="eastAsia" w:ascii="Times New Roman" w:hAnsi="Times New Roman" w:eastAsia="仿宋_GB2312" w:cs="Times New Roman"/>
          <w:sz w:val="32"/>
          <w:szCs w:val="32"/>
          <w:lang w:eastAsia="zh-CN"/>
        </w:rPr>
        <w:t>对长沙市园林生态园、长沙市一中广雅中学开展财务收支审计，揭示资产管理不到位、历史遗留的债务问题未得到有效化解存在形成新区级债务风险等问题。</w:t>
      </w:r>
      <w:r>
        <w:rPr>
          <w:rFonts w:hint="eastAsia" w:ascii="Times New Roman" w:hAnsi="Times New Roman" w:eastAsia="仿宋_GB2312" w:cs="Times New Roman"/>
          <w:b/>
          <w:bCs/>
          <w:sz w:val="32"/>
          <w:szCs w:val="32"/>
          <w:lang w:eastAsia="zh-CN"/>
        </w:rPr>
        <w:t>围绕促进权力规范运行，</w:t>
      </w:r>
      <w:r>
        <w:rPr>
          <w:rFonts w:hint="eastAsia" w:ascii="Times New Roman" w:hAnsi="Times New Roman" w:eastAsia="仿宋_GB2312" w:cs="Times New Roman"/>
          <w:sz w:val="32"/>
          <w:szCs w:val="32"/>
          <w:lang w:eastAsia="zh-CN"/>
        </w:rPr>
        <w:t>对区文体新局、区公建中心、新河街道、沙坪街道、通泰街街道5家单位的6名领导干部开展经济责任审计，重点揭示部分重大政策落实不到位、资产管理不严格等问题64个。围绕优质高效完成区委政府交办任务，开展全区2019至2021年生活垃圾清运情况专项审计调查，移送生活垃圾运输维护项目存在串标等问题线索1条，并完成“清廉医保”专项监督检查、区养老保险待遇核查“回头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突出推动兜牢民生底线。按照市审计局统一安排部署，对岳麓区2021年“十件民生实事”实施跟踪审计调查。同时，在各个审计项目实施过程中，结合党史学习教育“我为群众办实事”实践活动，聚焦民生资金、民生项目的审计，对“一卡通”惠农补贴资金、养老补贴资金、农业补贴资金、生育津贴等开展延伸审计，指导通泰街、沙坪2个街道所辖16个社区开展内部审计，切实维护民生民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突出提升审计监督实效。制定出台《开福区审计监督重大事项督察督办制度》《开福区审计协调协作联席会议制度》，主动加强审计监督与纪检监督的融</w:t>
      </w:r>
      <w:r>
        <w:rPr>
          <w:rFonts w:hint="eastAsia" w:cs="Times New Roman"/>
          <w:sz w:val="32"/>
          <w:szCs w:val="32"/>
          <w:lang w:eastAsia="zh-CN"/>
        </w:rPr>
        <w:t>会</w:t>
      </w:r>
      <w:bookmarkStart w:id="0" w:name="_GoBack"/>
      <w:bookmarkEnd w:id="0"/>
      <w:r>
        <w:rPr>
          <w:rFonts w:hint="eastAsia" w:ascii="Times New Roman" w:hAnsi="Times New Roman" w:eastAsia="仿宋_GB2312" w:cs="Times New Roman"/>
          <w:sz w:val="32"/>
          <w:szCs w:val="32"/>
          <w:lang w:eastAsia="zh-CN"/>
        </w:rPr>
        <w:t>贯通，加强审计与组织、巡察的信息互通和协作联动，构建审计监督大格局。严肃审计移送处理，对违纪违法问题实行“零容忍”，向纪检监察机关、主管部门等移送线索23条，移送处理45人，推动完善“不敢腐、不能腐、不想腐”的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因审计工作特点，委托业务费开支集中在下半年，导致预算执行进度较慢。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评价各个指标执行率时，时间节点设置更科学合理。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5"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无</w:t>
      </w:r>
    </w:p>
    <w:p>
      <w:pPr>
        <w:spacing w:line="600" w:lineRule="exact"/>
        <w:rPr>
          <w:rFonts w:hint="eastAsia"/>
          <w:sz w:val="28"/>
          <w:szCs w:val="28"/>
        </w:rPr>
      </w:pPr>
    </w:p>
    <w:p>
      <w:pPr>
        <w:adjustRightInd w:val="0"/>
        <w:snapToGrid w:val="0"/>
        <w:spacing w:line="560" w:lineRule="exact"/>
        <w:rPr>
          <w:rFonts w:hint="eastAsia" w:ascii="仿宋_GB2312"/>
          <w:szCs w:val="28"/>
          <w:lang w:eastAsia="zh-CN"/>
        </w:rPr>
      </w:pPr>
    </w:p>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0CFD88A"/>
    <w:multiLevelType w:val="singleLevel"/>
    <w:tmpl w:val="40CFD88A"/>
    <w:lvl w:ilvl="0" w:tentative="0">
      <w:start w:val="5"/>
      <w:numFmt w:val="chineseCounting"/>
      <w:suff w:val="nothing"/>
      <w:lvlText w:val="%1、"/>
      <w:lvlJc w:val="left"/>
      <w:rPr>
        <w:rFonts w:hint="eastAsia"/>
      </w:r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0C4E61E0"/>
    <w:rsid w:val="0A5D290E"/>
    <w:rsid w:val="0C4E61E0"/>
    <w:rsid w:val="7DA8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2215</Words>
  <Characters>2335</Characters>
  <Lines>0</Lines>
  <Paragraphs>0</Paragraphs>
  <TotalTime>1</TotalTime>
  <ScaleCrop>false</ScaleCrop>
  <LinksUpToDate>false</LinksUpToDate>
  <CharactersWithSpaces>2352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2022-09-16T09:13:00Z</dcterms:created>
  <dc:creator>Administrator</dc:creator>
  <cp:lastModifiedBy>Administrator</cp:lastModifiedBy>
  <dcterms:modified xsi:type="dcterms:W3CDTF">2022-10-17T02:11:46Z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0178C178949C43D59A6CD906E469776A</vt:lpwstr>
  </property>
</Properties>
</file>