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color w:val="000000"/>
          <w:sz w:val="44"/>
          <w:szCs w:val="44"/>
        </w:rPr>
      </w:pPr>
      <w:r>
        <w:rPr>
          <w:rFonts w:hint="eastAsia" w:ascii="黑体" w:hAnsi="黑体" w:eastAsia="黑体"/>
          <w:color w:val="000000"/>
          <w:sz w:val="44"/>
          <w:szCs w:val="44"/>
        </w:rPr>
        <w:t>2020年度重点项目绩效评价结果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项目支出</w:t>
      </w:r>
      <w:r>
        <w:rPr>
          <w:rFonts w:ascii="Times New Roman" w:hAnsi="Times New Roman" w:eastAsia="黑体" w:cs="Times New Roman"/>
          <w:sz w:val="32"/>
          <w:szCs w:val="32"/>
        </w:rPr>
        <w:t>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_GB2312" w:cs="Times New Roman"/>
          <w:b w:val="0"/>
          <w:bCs/>
          <w:sz w:val="32"/>
          <w:szCs w:val="32"/>
        </w:rPr>
      </w:pPr>
      <w:r>
        <w:rPr>
          <w:rFonts w:ascii="Times New Roman" w:hAnsi="Times New Roman" w:eastAsia="楷体_GB2312" w:cs="Times New Roman"/>
          <w:b w:val="0"/>
          <w:bCs/>
          <w:sz w:val="32"/>
          <w:szCs w:val="32"/>
        </w:rPr>
        <w:t>（一）</w:t>
      </w:r>
      <w:r>
        <w:rPr>
          <w:rFonts w:hint="eastAsia" w:ascii="Times New Roman" w:hAnsi="Times New Roman" w:eastAsia="楷体_GB2312" w:cs="Times New Roman"/>
          <w:b w:val="0"/>
          <w:bCs/>
          <w:sz w:val="32"/>
          <w:szCs w:val="32"/>
          <w:lang w:eastAsia="zh-CN"/>
        </w:rPr>
        <w:t>项目支出</w:t>
      </w:r>
      <w:r>
        <w:rPr>
          <w:rFonts w:ascii="Times New Roman" w:hAnsi="Times New Roman" w:eastAsia="楷体_GB2312" w:cs="Times New Roman"/>
          <w:b w:val="0"/>
          <w:bCs/>
          <w:sz w:val="32"/>
          <w:szCs w:val="32"/>
        </w:rPr>
        <w:t>资金概况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20</w:t>
      </w:r>
      <w:r>
        <w:rPr>
          <w:rFonts w:hint="default" w:ascii="Times New Roman" w:hAnsi="Times New Roman" w:cs="Times New Roman"/>
          <w:sz w:val="32"/>
          <w:szCs w:val="32"/>
          <w:lang w:val="en-US" w:eastAsia="zh-CN"/>
        </w:rPr>
        <w:t>20</w:t>
      </w:r>
      <w:r>
        <w:rPr>
          <w:rFonts w:hint="eastAsia" w:ascii="Times New Roman" w:hAnsi="Times New Roman" w:cs="Times New Roman"/>
          <w:sz w:val="32"/>
          <w:szCs w:val="32"/>
          <w:lang w:val="en-US" w:eastAsia="zh-CN"/>
        </w:rPr>
        <w:t>年我单位（局、部、中心）项目支出预算共348.20万元，包含项目8</w:t>
      </w:r>
      <w:r>
        <w:rPr>
          <w:rFonts w:hint="eastAsia" w:ascii="Times New Roman" w:hAnsi="Times New Roman" w:cs="Times New Roman"/>
          <w:sz w:val="32"/>
          <w:szCs w:val="32"/>
          <w:u w:val="none"/>
          <w:lang w:val="en-US" w:eastAsia="zh-CN"/>
        </w:rPr>
        <w:t>个，实际支出323.91</w:t>
      </w:r>
      <w:r>
        <w:rPr>
          <w:rFonts w:hint="eastAsia" w:ascii="Times New Roman" w:hAnsi="Times New Roman" w:cs="Times New Roman"/>
          <w:sz w:val="32"/>
          <w:szCs w:val="32"/>
          <w:lang w:val="en-US" w:eastAsia="zh-CN"/>
        </w:rPr>
        <w:t>万元（</w:t>
      </w:r>
      <w:r>
        <w:rPr>
          <w:rFonts w:hint="eastAsia" w:ascii="Times New Roman" w:hAnsi="Times New Roman" w:cs="Times New Roman"/>
          <w:sz w:val="32"/>
          <w:szCs w:val="32"/>
          <w:lang w:eastAsia="zh-CN"/>
        </w:rPr>
        <w:t>业务工作经费3</w:t>
      </w:r>
      <w:r>
        <w:rPr>
          <w:rFonts w:hint="eastAsia" w:ascii="Times New Roman" w:hAnsi="Times New Roman" w:cs="Times New Roman"/>
          <w:sz w:val="32"/>
          <w:szCs w:val="32"/>
          <w:lang w:val="en-US" w:eastAsia="zh-CN"/>
        </w:rPr>
        <w:t>23.91万元、专项经费0万元、政府专项经费0万元），涵盖项目8</w:t>
      </w:r>
      <w:r>
        <w:rPr>
          <w:rFonts w:hint="eastAsia" w:ascii="Times New Roman" w:hAnsi="Times New Roman" w:cs="Times New Roman"/>
          <w:sz w:val="32"/>
          <w:szCs w:val="32"/>
          <w:u w:val="none"/>
          <w:lang w:val="en-US" w:eastAsia="zh-CN"/>
        </w:rPr>
        <w:t>个</w:t>
      </w:r>
      <w:r>
        <w:rPr>
          <w:rFonts w:hint="eastAsia" w:ascii="Times New Roman" w:hAnsi="Times New Roman" w:eastAsia="仿宋_GB2312" w:cs="Times New Roman"/>
          <w:sz w:val="32"/>
          <w:szCs w:val="32"/>
          <w:lang w:eastAsia="zh-CN"/>
        </w:rPr>
        <w:t>。</w:t>
      </w:r>
      <w:r>
        <w:rPr>
          <w:rFonts w:hint="eastAsia" w:ascii="Times New Roman" w:hAnsi="Times New Roman" w:cs="Times New Roman"/>
          <w:sz w:val="32"/>
          <w:szCs w:val="32"/>
          <w:lang w:val="en-US" w:eastAsia="zh-CN"/>
        </w:rPr>
        <w:t>具体情况如下：</w:t>
      </w:r>
    </w:p>
    <w:p>
      <w:pPr>
        <w:spacing w:line="660" w:lineRule="exact"/>
        <w:ind w:firstLine="480" w:firstLineChars="200"/>
        <w:jc w:val="right"/>
        <w:rPr>
          <w:rFonts w:hint="eastAsia" w:ascii="Times New Roman" w:hAnsi="Times New Roman" w:cs="Times New Roman"/>
          <w:sz w:val="32"/>
          <w:szCs w:val="32"/>
          <w:lang w:val="en-US" w:eastAsia="zh-CN"/>
        </w:rPr>
      </w:pPr>
      <w:r>
        <w:rPr>
          <w:rFonts w:hint="eastAsia" w:ascii="Times New Roman" w:hAnsi="Times New Roman" w:cs="Times New Roman"/>
          <w:sz w:val="24"/>
          <w:szCs w:val="24"/>
          <w:lang w:val="en-US" w:eastAsia="zh-CN"/>
        </w:rPr>
        <w:t>金额单位：万元</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1064"/>
        <w:gridCol w:w="3623"/>
        <w:gridCol w:w="945"/>
        <w:gridCol w:w="1005"/>
        <w:gridCol w:w="840"/>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144" w:type="dxa"/>
            <w:vMerge w:val="restart"/>
            <w:noWrap w:val="0"/>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项目名称</w:t>
            </w:r>
          </w:p>
        </w:tc>
        <w:tc>
          <w:tcPr>
            <w:tcW w:w="1064" w:type="dxa"/>
            <w:vMerge w:val="restart"/>
            <w:noWrap w:val="0"/>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项目类型</w:t>
            </w:r>
          </w:p>
        </w:tc>
        <w:tc>
          <w:tcPr>
            <w:tcW w:w="3623" w:type="dxa"/>
            <w:vMerge w:val="restart"/>
            <w:noWrap w:val="0"/>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资金用途、使用方向</w:t>
            </w:r>
          </w:p>
        </w:tc>
        <w:tc>
          <w:tcPr>
            <w:tcW w:w="1950" w:type="dxa"/>
            <w:gridSpan w:val="2"/>
            <w:noWrap w:val="0"/>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预算金额</w:t>
            </w:r>
          </w:p>
        </w:tc>
        <w:tc>
          <w:tcPr>
            <w:tcW w:w="1796" w:type="dxa"/>
            <w:gridSpan w:val="2"/>
            <w:noWrap w:val="0"/>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支出金额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144" w:type="dxa"/>
            <w:vMerge w:val="continue"/>
            <w:noWrap w:val="0"/>
            <w:vAlign w:val="center"/>
          </w:tcPr>
          <w:p>
            <w:pPr>
              <w:spacing w:line="240" w:lineRule="auto"/>
              <w:jc w:val="center"/>
              <w:rPr>
                <w:rFonts w:hint="eastAsia" w:ascii="Times New Roman" w:hAnsi="Times New Roman" w:cs="Times New Roman"/>
                <w:sz w:val="21"/>
                <w:szCs w:val="21"/>
                <w:vertAlign w:val="baseline"/>
                <w:lang w:val="en-US" w:eastAsia="zh-CN"/>
              </w:rPr>
            </w:pPr>
          </w:p>
        </w:tc>
        <w:tc>
          <w:tcPr>
            <w:tcW w:w="1064" w:type="dxa"/>
            <w:vMerge w:val="continue"/>
            <w:noWrap w:val="0"/>
            <w:vAlign w:val="center"/>
          </w:tcPr>
          <w:p>
            <w:pPr>
              <w:spacing w:line="240" w:lineRule="auto"/>
              <w:jc w:val="center"/>
              <w:rPr>
                <w:rFonts w:hint="eastAsia" w:ascii="Times New Roman" w:hAnsi="Times New Roman" w:cs="Times New Roman"/>
                <w:sz w:val="21"/>
                <w:szCs w:val="21"/>
                <w:vertAlign w:val="baseline"/>
                <w:lang w:val="en-US" w:eastAsia="zh-CN"/>
              </w:rPr>
            </w:pPr>
          </w:p>
        </w:tc>
        <w:tc>
          <w:tcPr>
            <w:tcW w:w="3623" w:type="dxa"/>
            <w:vMerge w:val="continue"/>
            <w:noWrap w:val="0"/>
            <w:vAlign w:val="center"/>
          </w:tcPr>
          <w:p>
            <w:pPr>
              <w:spacing w:line="240" w:lineRule="auto"/>
              <w:jc w:val="center"/>
              <w:rPr>
                <w:rFonts w:hint="eastAsia" w:ascii="Times New Roman" w:hAnsi="Times New Roman" w:cs="Times New Roman"/>
                <w:sz w:val="21"/>
                <w:szCs w:val="21"/>
                <w:vertAlign w:val="baseline"/>
                <w:lang w:val="en-US" w:eastAsia="zh-CN"/>
              </w:rPr>
            </w:pPr>
          </w:p>
        </w:tc>
        <w:tc>
          <w:tcPr>
            <w:tcW w:w="945" w:type="dxa"/>
            <w:noWrap w:val="0"/>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指标</w:t>
            </w:r>
          </w:p>
          <w:p>
            <w:pPr>
              <w:spacing w:line="240" w:lineRule="auto"/>
              <w:jc w:val="center"/>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总额</w:t>
            </w:r>
          </w:p>
        </w:tc>
        <w:tc>
          <w:tcPr>
            <w:tcW w:w="1005" w:type="dxa"/>
            <w:noWrap w:val="0"/>
            <w:vAlign w:val="center"/>
          </w:tcPr>
          <w:p>
            <w:pPr>
              <w:spacing w:line="240" w:lineRule="auto"/>
              <w:jc w:val="center"/>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其中：区级资金</w:t>
            </w:r>
          </w:p>
        </w:tc>
        <w:tc>
          <w:tcPr>
            <w:tcW w:w="840" w:type="dxa"/>
            <w:noWrap w:val="0"/>
            <w:vAlign w:val="center"/>
          </w:tcPr>
          <w:p>
            <w:pPr>
              <w:spacing w:line="240" w:lineRule="auto"/>
              <w:jc w:val="center"/>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支出总额</w:t>
            </w:r>
          </w:p>
        </w:tc>
        <w:tc>
          <w:tcPr>
            <w:tcW w:w="956" w:type="dxa"/>
            <w:noWrap w:val="0"/>
            <w:vAlign w:val="center"/>
          </w:tcPr>
          <w:p>
            <w:pPr>
              <w:spacing w:line="240" w:lineRule="auto"/>
              <w:jc w:val="center"/>
              <w:rPr>
                <w:rFonts w:hint="eastAsia" w:ascii="Times New Roman" w:hAnsi="Times New Roman" w:eastAsia="仿宋_GB2312"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其中：区级资金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144" w:type="dxa"/>
            <w:noWrap w:val="0"/>
            <w:vAlign w:val="center"/>
          </w:tcPr>
          <w:p>
            <w:pPr>
              <w:spacing w:line="240" w:lineRule="auto"/>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项目1</w:t>
            </w:r>
          </w:p>
        </w:tc>
        <w:tc>
          <w:tcPr>
            <w:tcW w:w="1064" w:type="dxa"/>
            <w:noWrap w:val="0"/>
            <w:vAlign w:val="center"/>
          </w:tcPr>
          <w:p>
            <w:pPr>
              <w:spacing w:line="240" w:lineRule="auto"/>
              <w:jc w:val="both"/>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业务工作经费</w:t>
            </w:r>
          </w:p>
        </w:tc>
        <w:tc>
          <w:tcPr>
            <w:tcW w:w="3623" w:type="dxa"/>
            <w:noWrap w:val="0"/>
            <w:vAlign w:val="center"/>
          </w:tcPr>
          <w:p>
            <w:pPr>
              <w:spacing w:line="240" w:lineRule="auto"/>
              <w:jc w:val="both"/>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用于完成2020年审计项目；保证2020年由上级审计机关组织的财政审计人员业务培训学习顺利开展；保障2020年全年投资审计中心聘请的专家工资及办公经费正常开支；保证外协审计服务费用开支；保障审计业务人员出外勤，用审计外勤专项经费支付审计人员在项目现场所产生的交通费、伙食费及其他杂费；用于非法集资司法鉴定的中介服务费；保证2020年全年审计联网系统的安全平稳运行及维护。</w:t>
            </w:r>
          </w:p>
        </w:tc>
        <w:tc>
          <w:tcPr>
            <w:tcW w:w="945" w:type="dxa"/>
            <w:noWrap w:val="0"/>
            <w:vAlign w:val="center"/>
          </w:tcPr>
          <w:p>
            <w:pPr>
              <w:spacing w:line="240" w:lineRule="auto"/>
              <w:jc w:val="both"/>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348.20</w:t>
            </w:r>
          </w:p>
        </w:tc>
        <w:tc>
          <w:tcPr>
            <w:tcW w:w="1005" w:type="dxa"/>
            <w:noWrap w:val="0"/>
            <w:vAlign w:val="center"/>
          </w:tcPr>
          <w:p>
            <w:pPr>
              <w:spacing w:line="240" w:lineRule="auto"/>
              <w:jc w:val="both"/>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348.20</w:t>
            </w:r>
          </w:p>
        </w:tc>
        <w:tc>
          <w:tcPr>
            <w:tcW w:w="840" w:type="dxa"/>
            <w:noWrap w:val="0"/>
            <w:vAlign w:val="center"/>
          </w:tcPr>
          <w:p>
            <w:pPr>
              <w:spacing w:line="240" w:lineRule="auto"/>
              <w:jc w:val="both"/>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323.91</w:t>
            </w:r>
          </w:p>
        </w:tc>
        <w:tc>
          <w:tcPr>
            <w:tcW w:w="956" w:type="dxa"/>
            <w:noWrap w:val="0"/>
            <w:vAlign w:val="center"/>
          </w:tcPr>
          <w:p>
            <w:pPr>
              <w:spacing w:line="240" w:lineRule="auto"/>
              <w:jc w:val="both"/>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323.91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5831" w:type="dxa"/>
            <w:gridSpan w:val="3"/>
            <w:noWrap w:val="0"/>
            <w:vAlign w:val="center"/>
          </w:tcPr>
          <w:p>
            <w:pPr>
              <w:tabs>
                <w:tab w:val="left" w:pos="2243"/>
              </w:tabs>
              <w:spacing w:line="240" w:lineRule="auto"/>
              <w:jc w:val="both"/>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ab/>
            </w:r>
            <w:r>
              <w:rPr>
                <w:rFonts w:hint="eastAsia" w:ascii="Times New Roman" w:hAnsi="Times New Roman" w:cs="Times New Roman"/>
                <w:sz w:val="21"/>
                <w:szCs w:val="21"/>
                <w:vertAlign w:val="baseline"/>
                <w:lang w:val="en-US" w:eastAsia="zh-CN"/>
              </w:rPr>
              <w:t>合计</w:t>
            </w:r>
          </w:p>
        </w:tc>
        <w:tc>
          <w:tcPr>
            <w:tcW w:w="945" w:type="dxa"/>
            <w:noWrap w:val="0"/>
            <w:vAlign w:val="center"/>
          </w:tcPr>
          <w:p>
            <w:pPr>
              <w:spacing w:line="240" w:lineRule="auto"/>
              <w:jc w:val="both"/>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348.20</w:t>
            </w:r>
          </w:p>
        </w:tc>
        <w:tc>
          <w:tcPr>
            <w:tcW w:w="1005" w:type="dxa"/>
            <w:noWrap w:val="0"/>
            <w:vAlign w:val="center"/>
          </w:tcPr>
          <w:p>
            <w:pPr>
              <w:spacing w:line="240" w:lineRule="auto"/>
              <w:jc w:val="both"/>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348.20</w:t>
            </w:r>
          </w:p>
        </w:tc>
        <w:tc>
          <w:tcPr>
            <w:tcW w:w="840" w:type="dxa"/>
            <w:noWrap w:val="0"/>
            <w:vAlign w:val="center"/>
          </w:tcPr>
          <w:p>
            <w:pPr>
              <w:spacing w:line="240" w:lineRule="auto"/>
              <w:jc w:val="both"/>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323.91</w:t>
            </w:r>
          </w:p>
        </w:tc>
        <w:tc>
          <w:tcPr>
            <w:tcW w:w="956" w:type="dxa"/>
            <w:noWrap w:val="0"/>
            <w:vAlign w:val="center"/>
          </w:tcPr>
          <w:p>
            <w:pPr>
              <w:spacing w:line="240" w:lineRule="auto"/>
              <w:jc w:val="both"/>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323.91</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rPr>
          <w:rFonts w:ascii="Times New Roman" w:hAnsi="Times New Roman" w:eastAsia="楷体_GB2312" w:cs="Times New Roman"/>
          <w:b w:val="0"/>
          <w:bCs/>
          <w:sz w:val="32"/>
          <w:szCs w:val="32"/>
        </w:rPr>
      </w:pPr>
      <w:r>
        <w:rPr>
          <w:rFonts w:hint="eastAsia" w:ascii="Times New Roman" w:hAnsi="Times New Roman" w:eastAsia="楷体_GB2312" w:cs="Times New Roman"/>
          <w:b w:val="0"/>
          <w:bCs/>
          <w:sz w:val="32"/>
          <w:szCs w:val="32"/>
          <w:lang w:eastAsia="zh-CN"/>
        </w:rPr>
        <w:t>（二）项目绩效</w:t>
      </w:r>
      <w:r>
        <w:rPr>
          <w:rFonts w:ascii="Times New Roman" w:hAnsi="Times New Roman" w:eastAsia="楷体_GB2312" w:cs="Times New Roman"/>
          <w:b w:val="0"/>
          <w:bCs/>
          <w:sz w:val="32"/>
          <w:szCs w:val="32"/>
        </w:rPr>
        <w:t>目标</w:t>
      </w:r>
      <w:r>
        <w:rPr>
          <w:rFonts w:hint="eastAsia" w:ascii="Times New Roman" w:hAnsi="Times New Roman" w:eastAsia="楷体_GB2312" w:cs="Times New Roman"/>
          <w:b w:val="0"/>
          <w:bCs/>
          <w:sz w:val="32"/>
          <w:szCs w:val="32"/>
          <w:lang w:eastAsia="zh-CN"/>
        </w:rPr>
        <w:t>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cs="Times New Roman"/>
          <w:sz w:val="32"/>
          <w:szCs w:val="32"/>
          <w:lang w:val="en-US" w:eastAsia="zh-CN"/>
        </w:rPr>
        <w:t>业务工作经费绩效整体目标：完成2020年审计项目，保证区政府安排的审计项目正常进行，切实发挥审计在服务开福经济高质量发展中的建设性作用。</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640" w:leftChars="0"/>
        <w:textAlignment w:val="auto"/>
        <w:rPr>
          <w:rFonts w:ascii="Times New Roman" w:hAnsi="Times New Roman" w:eastAsia="楷体_GB2312" w:cs="Times New Roman"/>
          <w:b w:val="0"/>
          <w:bCs/>
          <w:sz w:val="32"/>
          <w:szCs w:val="32"/>
        </w:rPr>
      </w:pPr>
      <w:r>
        <w:rPr>
          <w:rFonts w:hint="eastAsia" w:ascii="Times New Roman" w:hAnsi="Times New Roman" w:eastAsia="楷体_GB2312" w:cs="Times New Roman"/>
          <w:b w:val="0"/>
          <w:bCs/>
          <w:sz w:val="32"/>
          <w:szCs w:val="32"/>
          <w:lang w:eastAsia="zh-CN"/>
        </w:rPr>
        <w:t>（三）</w:t>
      </w:r>
      <w:r>
        <w:rPr>
          <w:rFonts w:ascii="Times New Roman" w:hAnsi="Times New Roman" w:eastAsia="楷体_GB2312" w:cs="Times New Roman"/>
          <w:b w:val="0"/>
          <w:bCs/>
          <w:sz w:val="32"/>
          <w:szCs w:val="32"/>
        </w:rPr>
        <w:t>资金使用管理情况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一是根据年度工作安排和项目组织实施进度，资金分批次拨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付到位。2020年我单位项目支出年初预算数</w:t>
      </w:r>
      <w:r>
        <w:rPr>
          <w:rFonts w:hint="eastAsia" w:ascii="Times New Roman" w:hAnsi="Times New Roman" w:cs="Times New Roman"/>
          <w:sz w:val="32"/>
          <w:szCs w:val="32"/>
          <w:lang w:val="en-US" w:eastAsia="zh-CN"/>
        </w:rPr>
        <w:t>348.20</w:t>
      </w:r>
      <w:r>
        <w:rPr>
          <w:rFonts w:hint="eastAsia" w:ascii="Times New Roman" w:hAnsi="Times New Roman" w:eastAsia="仿宋_GB2312" w:cs="Times New Roman"/>
          <w:sz w:val="32"/>
          <w:szCs w:val="32"/>
          <w:lang w:eastAsia="zh-CN"/>
        </w:rPr>
        <w:t>万元，调整预算数</w:t>
      </w:r>
      <w:r>
        <w:rPr>
          <w:rFonts w:hint="eastAsia" w:ascii="Times New Roman" w:hAnsi="Times New Roman" w:cs="Times New Roman"/>
          <w:sz w:val="32"/>
          <w:szCs w:val="32"/>
          <w:lang w:val="en-US" w:eastAsia="zh-CN"/>
        </w:rPr>
        <w:t>323.91</w:t>
      </w:r>
      <w:r>
        <w:rPr>
          <w:rFonts w:hint="eastAsia" w:ascii="Times New Roman" w:hAnsi="Times New Roman" w:eastAsia="仿宋_GB2312" w:cs="Times New Roman"/>
          <w:sz w:val="32"/>
          <w:szCs w:val="32"/>
          <w:lang w:eastAsia="zh-CN"/>
        </w:rPr>
        <w:t>万元，实际支出</w:t>
      </w:r>
      <w:r>
        <w:rPr>
          <w:rFonts w:hint="eastAsia" w:ascii="Times New Roman" w:hAnsi="Times New Roman" w:cs="Times New Roman"/>
          <w:sz w:val="32"/>
          <w:szCs w:val="32"/>
          <w:lang w:val="en-US" w:eastAsia="zh-CN"/>
        </w:rPr>
        <w:t>323.91</w:t>
      </w:r>
      <w:r>
        <w:rPr>
          <w:rFonts w:hint="eastAsia" w:ascii="Times New Roman" w:hAnsi="Times New Roman" w:eastAsia="仿宋_GB2312" w:cs="Times New Roman"/>
          <w:sz w:val="32"/>
          <w:szCs w:val="32"/>
          <w:lang w:eastAsia="zh-CN"/>
        </w:rPr>
        <w:t>万元，主要用于</w:t>
      </w:r>
      <w:r>
        <w:rPr>
          <w:rFonts w:hint="eastAsia" w:ascii="Times New Roman" w:hAnsi="Times New Roman" w:cs="Times New Roman"/>
          <w:sz w:val="32"/>
          <w:szCs w:val="32"/>
          <w:lang w:val="en-US" w:eastAsia="zh-CN"/>
        </w:rPr>
        <w:t>支出323.91</w:t>
      </w:r>
      <w:r>
        <w:rPr>
          <w:rFonts w:hint="eastAsia" w:ascii="Times New Roman" w:hAnsi="Times New Roman" w:eastAsia="仿宋_GB2312" w:cs="Times New Roman"/>
          <w:sz w:val="32"/>
          <w:szCs w:val="32"/>
          <w:lang w:eastAsia="zh-CN"/>
        </w:rPr>
        <w:t>万元。二是为加强专项经费管理，规范专项资金使用使用，提高资金使用效率，我局进一步建立健全财务管理制度，形成了《开福区</w:t>
      </w:r>
      <w:r>
        <w:rPr>
          <w:rFonts w:hint="eastAsia" w:ascii="Times New Roman" w:hAnsi="Times New Roman" w:cs="Times New Roman"/>
          <w:sz w:val="32"/>
          <w:szCs w:val="32"/>
          <w:lang w:val="en-US" w:eastAsia="zh-CN"/>
        </w:rPr>
        <w:t>审计局专项</w:t>
      </w:r>
      <w:r>
        <w:rPr>
          <w:rFonts w:hint="eastAsia" w:ascii="Times New Roman" w:hAnsi="Times New Roman" w:eastAsia="仿宋_GB2312" w:cs="Times New Roman"/>
          <w:sz w:val="32"/>
          <w:szCs w:val="32"/>
          <w:lang w:eastAsia="zh-CN"/>
        </w:rPr>
        <w:t>经费使用管理办法》，办法对专项资金的分配和使用进行了规范，要求专项资金严格按照项目内容使用，使用专项资金时全部通过国库集中支付，确保专款专用，支出合理合规。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Times New Roman"/>
          <w:sz w:val="32"/>
          <w:szCs w:val="32"/>
        </w:rPr>
      </w:pPr>
      <w:r>
        <w:rPr>
          <w:rFonts w:hint="eastAsia" w:ascii="Times New Roman" w:hAnsi="Times New Roman" w:eastAsia="黑体" w:cs="Times New Roman"/>
          <w:sz w:val="32"/>
          <w:szCs w:val="32"/>
          <w:lang w:eastAsia="zh-CN"/>
        </w:rPr>
        <w:t>二、</w:t>
      </w:r>
      <w:r>
        <w:rPr>
          <w:rFonts w:ascii="Times New Roman" w:hAnsi="Times New Roman" w:eastAsia="黑体" w:cs="Times New Roman"/>
          <w:sz w:val="32"/>
          <w:szCs w:val="32"/>
        </w:rPr>
        <w:t>绩效评价工作情况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一是根据绩效评价工作有关要求，我局绩效评价工作由办公</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室牵头，各业务科室参与，组织业务部门制定了详细工作方案，明确各科室职责，确定绩效目标。二是根据</w:t>
      </w:r>
      <w:r>
        <w:rPr>
          <w:rFonts w:hint="eastAsia" w:ascii="Times New Roman" w:hAnsi="Times New Roman" w:cs="Times New Roman"/>
          <w:sz w:val="32"/>
          <w:szCs w:val="32"/>
          <w:lang w:val="en-US" w:eastAsia="zh-CN"/>
        </w:rPr>
        <w:t>区财政局</w:t>
      </w:r>
      <w:r>
        <w:rPr>
          <w:rFonts w:hint="eastAsia" w:ascii="Times New Roman" w:hAnsi="Times New Roman" w:eastAsia="仿宋_GB2312" w:cs="Times New Roman"/>
          <w:sz w:val="32"/>
          <w:szCs w:val="32"/>
          <w:lang w:eastAsia="zh-CN"/>
        </w:rPr>
        <w:t>部署，结合全局业务工作开展情况进行绩效自评，形成绩效报告。</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640" w:leftChars="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bookmarkStart w:id="0" w:name="_GoBack"/>
      <w:bookmarkEnd w:id="0"/>
      <w:r>
        <w:rPr>
          <w:rFonts w:hint="eastAsia" w:ascii="Times New Roman" w:hAnsi="Times New Roman" w:eastAsia="黑体" w:cs="Times New Roman"/>
          <w:sz w:val="32"/>
          <w:szCs w:val="32"/>
          <w:lang w:eastAsia="zh-CN"/>
        </w:rPr>
        <w:t>项目支出</w:t>
      </w:r>
      <w:r>
        <w:rPr>
          <w:rFonts w:ascii="Times New Roman" w:hAnsi="Times New Roman" w:eastAsia="黑体" w:cs="Times New Roman"/>
          <w:sz w:val="32"/>
          <w:szCs w:val="32"/>
        </w:rPr>
        <w:t>主要绩效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cs="Times New Roman"/>
          <w:sz w:val="32"/>
          <w:szCs w:val="32"/>
          <w:lang w:eastAsia="zh-CN"/>
        </w:rPr>
        <w:t>2020年，我局围绕上级审计机关审计工作要点和区委政府中心工作，励精图治、艰苦奋斗，振奋精神、改革创新，努力完成全年各项任务，切实发挥审计在服务开福经济高质量发展中的建设性作用。完成审计项目21个，查出违规金额2.21亿元，上缴财政579.84万元，审计促进拨付资金到位18320.52万元，审减并追回资金341万元，移送案件线索8起。我局继续保持“市文明标兵单位”荣誉，并获得全省审计机关优秀审计项目二等奖，被中国时代经济杂志出版社、《中国审计》评为审计通联宣传先进单位等。一是加大对重大政策措施贯彻落实情况跟踪审计力度。紧扣“六稳”“六保”重大决策部署，对应对新冠肺炎疫情防控资金和捐赠款物开展专项审计，促进减税降费、优化营商环境等重大政策措施贯彻落实，为打赢疫情防控阻击战提供审计监督。二是加大对规范权力运行审计力度。对区统计局、区经信局、金霞发展集团、保税物流和洪山街道等5家单位的8名领导干部开展经济责任审计，聚焦权力运行和责任落实，重点关注重大经济事项决策、重大政策落实、重大改革事项推进等方面存在的问题。指导洪山街道办事处下属4个社区开展内部审计，规范社区资金管理。三是加大环境资源审计力度。紧扣污染防治攻坚战，大力推进生态文明建设的重大部署，对洪山街道原主要负责人实施自然资源资产审计，促进街道对资源节约集约循环利用和环境保护政策落实，推动绿色发展。四是加大对重大项目审计力度。重点对区财评2019年10月至2020年9月结算评审项目质量情况开展抽查审计，对“一圈两场三道”建设、金霞发展集团2017-2019年度新建市政项目等开展专项审计调查，审计发现部分项目建设程序不规范、建设质量不合规、结算工程量不实等问题100余个，审减并追回资金341万元，收回存量资金620万元，涉及其他问题资金2877万元,有效促进建设单位加强管理，保证财政资金安全。五是着力推进审计管理创新。2020年首次实现一级预算单位审计全覆盖。我局采取“1+3+N”的预算执行审计模式，对区本级和金霞经开区、区财政局、区统计局、区经信局等3个部门单位重点审计，通过大数据审计方式对72个一级预算单位进行审计全覆盖，审计效率大幅提升。六是健全审计整改跟踪督办机制。实行审计发现问题整改“一本账”逐一销号。2020年审计发现问题356个，其中整改到期问题241个，已基本完成整改163个，正在整改78个，发挥审计“治已病”“防未病”的建设性作用。七是扎实做好上级审计、巡察的整改工作。牵头做好了省委第六巡视组巡视我区以及上级审计机关发现涉及我区问题的审计整改协调工作。一方面，派出1名审计骨干协助省委第六巡视组工作，并对巡视期间各个审计项目的整改工作严格把关，确保我区审计整改成效，还派出2人次参加十一届省委第九、第十轮巡视，同时，做好了审计署开展省长经济责任审计中涉我区的联络工作；另一方面，将近三年审计发现的主要问题形成汇报材料，及时向区委政府主要领导汇报，为领导决策提供参考。与此同时，对上级审计机关发现涉及我区的问题，牵头指导各责任单位将整改落到实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四、存在的问题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存在的主要问题：因审计工作特点，委托业务费开支集中在下半年，导致预算执行进度较慢。</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有关建议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仿宋_GB2312" w:cs="Times New Roman"/>
          <w:sz w:val="32"/>
          <w:szCs w:val="32"/>
        </w:rPr>
        <w:t>一是规范部门预算的编制，加强预算精细化管理。加强预算编制的前瞻性，按照新《预算法》及其实施条例相关规定，科学、合理地编制本年预算草案，根据业务工作需要和制度要求，编实编准编细年度项目支出预算，严格按照预算进行开支。二是加强预算执行的监督和管理，规范预算项目执行进度。科学设置预算绩效指标，合理安排经费和各项资金，严格按照预算指标及时支出，强化预算约束力，切实发挥资金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六、其他需要说明的问题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无。</w:t>
      </w:r>
    </w:p>
    <w:p/>
    <w:sectPr>
      <w:footerReference r:id="rId3" w:type="default"/>
      <w:footerReference r:id="rId4" w:type="even"/>
      <w:pgSz w:w="11906" w:h="16838"/>
      <w:pgMar w:top="2098" w:right="1474" w:bottom="1701" w:left="1588" w:header="1134" w:footer="1247" w:gutter="0"/>
      <w:paperSrc w:first="261" w:other="261"/>
      <w:cols w:space="720" w:num="1"/>
      <w:docGrid w:linePitch="579" w:charSpace="-38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7"/>
                              <w:sz w:val="28"/>
                              <w:szCs w:val="28"/>
                            </w:rPr>
                          </w:pPr>
                          <w:r>
                            <w:rPr>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1</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Style w:val="7"/>
                        <w:sz w:val="28"/>
                        <w:szCs w:val="28"/>
                      </w:rPr>
                    </w:pPr>
                    <w:r>
                      <w:rPr>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sz w:val="28"/>
                        <w:szCs w:val="28"/>
                      </w:rPr>
                      <w:t xml:space="preserve"> —</w:t>
                    </w:r>
                  </w:p>
                </w:txbxContent>
              </v:textbox>
            </v:shape>
          </w:pict>
        </mc:Fallback>
      </mc:AlternateContent>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7458F9"/>
    <w:multiLevelType w:val="singleLevel"/>
    <w:tmpl w:val="607458F9"/>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1MDc4OTE3ZGZjYjU1NDgyOWFhMGYyZTlkN2Q0MzkifQ=="/>
  </w:docVars>
  <w:rsids>
    <w:rsidRoot w:val="04222A07"/>
    <w:rsid w:val="03346A46"/>
    <w:rsid w:val="04222A07"/>
    <w:rsid w:val="73B22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table" w:styleId="5">
    <w:name w:val="Table Grid"/>
    <w:basedOn w:val="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2247</Words>
  <Characters>2409</Characters>
  <Lines>0</Lines>
  <Paragraphs>0</Paragraphs>
  <TotalTime>1</TotalTime>
  <ScaleCrop>false</ScaleCrop>
  <LinksUpToDate>false</LinksUpToDate>
  <CharactersWithSpaces>2412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2022-08-31T01:32:00Z</dcterms:created>
  <dc:creator>Administrator</dc:creator>
  <cp:lastModifiedBy>Administrator</cp:lastModifiedBy>
  <dcterms:modified xsi:type="dcterms:W3CDTF">2022-08-31T01:38:11Z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D54ED30C0E584987ABD6232CD7762FE6</vt:lpwstr>
  </property>
</Properties>
</file>