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color w:val="auto"/>
          <w:kern w:val="0"/>
          <w:sz w:val="48"/>
          <w:szCs w:val="48"/>
        </w:rPr>
      </w:pPr>
      <w:bookmarkStart w:id="0" w:name="_GoBack"/>
      <w:r>
        <w:rPr>
          <w:rFonts w:hint="eastAsia" w:ascii="仿宋" w:hAnsi="仿宋" w:eastAsia="仿宋" w:cs="仿宋"/>
          <w:b/>
          <w:bCs/>
          <w:color w:val="auto"/>
          <w:kern w:val="0"/>
          <w:sz w:val="48"/>
          <w:szCs w:val="48"/>
        </w:rPr>
        <w:t>2021年长沙市开福区司法局部门预算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color w:val="auto"/>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color w:val="auto"/>
          <w:kern w:val="0"/>
          <w:sz w:val="36"/>
          <w:szCs w:val="36"/>
        </w:rPr>
      </w:pPr>
      <w:r>
        <w:rPr>
          <w:rFonts w:hint="eastAsia" w:ascii="黑体" w:hAnsi="黑体" w:eastAsia="黑体" w:cs="黑体"/>
          <w:b/>
          <w:color w:val="auto"/>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before="30" w:after="30" w:line="600" w:lineRule="exact"/>
        <w:ind w:firstLine="480"/>
        <w:textAlignment w:val="auto"/>
        <w:rPr>
          <w:rFonts w:ascii="宋体" w:hAnsi="宋体" w:eastAsia="宋体" w:cs="宋体"/>
          <w:color w:val="auto"/>
          <w:kern w:val="0"/>
          <w:szCs w:val="21"/>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eastAsia="黑体"/>
          <w:bCs/>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before="30" w:after="30" w:line="600" w:lineRule="exact"/>
        <w:ind w:firstLine="320" w:firstLineChars="1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（1）承担全面依法治区重大问题的政策研究，协调有关方面提出全面依法治区中长期规划建议，负责有关重大决策部署督察工作。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指导全区规范性文件管理有关工作，承担区政府、区政府办规范性文件送审稿的合法性审查工作及政府规范性文件报送备案工作，承办区政府、区政府办及其各部门、各街道规范性文件的“统一登记、统一编号、统一公布”工作。负责区政府、各部门、街道报送备案的规范性文件监督工作。受理有关规范性文件合法性审查申请。组织开展政府规范性文件清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3）承担统筹推进法治政府建设的责任。指导、监督区政府各部门和街道依法行政工作。负责综合协调行政执法，承担推进行政执法体制改革有关工作，推进严格规范公正文明执法。承办区政府管辖的行政复议案件，代理区政府行政应诉事项。指导、监督全区行政应诉工作。承担区政府行政复议委员会日常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（4）负责区政府重大合同的合法性审查；指导和参与区政府重大合同履约问题的处理；指导全区政府合同管理工作。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5）承担统筹规划全区法治社会建设的责任。负责拟订法治宣传教育规划、组织实施普法宣传工作，组织对外法治宣传。推动人民参与和促进法治建设。指导依法治理和法治创建工作。指导调解工作，负责人民陪审员选任管理工作，推进司法所建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（6）指导、管理社区矫正工作。指导刑满释放人员帮教安置工作。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（7）负责拟订公共法律服务体系建设规划并指导实施，统筹和布局城乡、区域法律服务资源。指导、监督区属律师，法律援助、基层法律服务管理工作。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（8）负责本系统车辆管理工作，指导、监督本系统财务、装备、设施、场所等保障工作。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（9）规划、协调、指导法治人才队伍建设相关工作。指导、监督本系统队伍建设。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（10）完成区委、区政府交办的其他任务。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2、机构设置。</w:t>
      </w:r>
      <w:r>
        <w:rPr>
          <w:rFonts w:hint="eastAsia" w:ascii="仿宋" w:hAnsi="仿宋" w:eastAsia="仿宋" w:cs="仿宋"/>
          <w:bCs/>
          <w:color w:val="auto"/>
          <w:kern w:val="0"/>
          <w:sz w:val="32"/>
          <w:szCs w:val="32"/>
        </w:rPr>
        <w:t>本部门由1个行政单位及1个二级机构组成，二级机构为开福区公共法律服务中心。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开福区司法局内设机构包括：办公室（政治工作办公室）、社区矫正管理科（社区矫正管理局）、公共法律服务管理科（行政审批和政务服务科）、人民参与和促进法治科、普法与依法治理科、行政复议与应诉科（政府合同管理科）、行政执法监督科（规范性文件管理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纳入2021年部门预算编制范围的二级预算单位包括：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1、长沙市开福区司法局部门本级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2、二级预算单位：公共法律服务中心（法律援助中心）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部门预算包括本级预算和所属单位预算在内的汇总情况（以及对区县（市）转移支付的情况）。收入既包括一般公共预算收入、政府性基金收入和国有资本经营预算收入，又包括事业单位经营服务等收入；支出既包括保障局机关及局属事业单位基本运行的经费，也包括长沙市开福区司法局归口管理的代理诉讼费、法律援助办案补贴、人民调解经费、社区矫正经费等专项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（一）收入预算：</w:t>
      </w:r>
      <w:r>
        <w:rPr>
          <w:rFonts w:hint="eastAsia" w:ascii="仿宋" w:hAnsi="仿宋" w:eastAsia="仿宋" w:cs="仿宋"/>
          <w:bCs/>
          <w:color w:val="auto"/>
          <w:kern w:val="0"/>
          <w:sz w:val="32"/>
          <w:szCs w:val="32"/>
        </w:rPr>
        <w:t>2021年本部门收入预算数2333.34万元，其中，一般公共预算拨款2333.34万元，政府性基金预算拨款0万元，国有资本经营预算拨款0万元，纳入专户管理的非税收入0万元。收入较去年增加75.18万元，上升</w:t>
      </w:r>
      <w:r>
        <w:rPr>
          <w:rFonts w:hint="eastAsia" w:ascii="仿宋" w:hAnsi="仿宋" w:eastAsia="仿宋" w:cs="仿宋"/>
          <w:bCs/>
          <w:color w:val="auto"/>
          <w:kern w:val="0"/>
          <w:sz w:val="32"/>
          <w:szCs w:val="32"/>
          <w:highlight w:val="none"/>
        </w:rPr>
        <w:t>3.33%</w:t>
      </w:r>
      <w:r>
        <w:rPr>
          <w:rFonts w:hint="eastAsia" w:ascii="仿宋" w:hAnsi="仿宋" w:eastAsia="仿宋" w:cs="仿宋"/>
          <w:bCs/>
          <w:color w:val="auto"/>
          <w:kern w:val="0"/>
          <w:sz w:val="32"/>
          <w:szCs w:val="32"/>
        </w:rPr>
        <w:t>，主要是在职人员工资、保险等人员经费增加。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（二）支出预算：</w:t>
      </w:r>
      <w:r>
        <w:rPr>
          <w:rFonts w:hint="eastAsia" w:ascii="仿宋" w:hAnsi="仿宋" w:eastAsia="仿宋" w:cs="仿宋"/>
          <w:bCs/>
          <w:color w:val="auto"/>
          <w:kern w:val="0"/>
          <w:sz w:val="32"/>
          <w:szCs w:val="32"/>
        </w:rPr>
        <w:t>2021年本部门支出预算数2333.34万元，其中，公共安全2136.14万元，社会保障和就业支出87.13万元，住房保障支出110.07万元。支出较去年增加75.18万元，</w:t>
      </w:r>
      <w:r>
        <w:rPr>
          <w:rFonts w:hint="eastAsia" w:ascii="仿宋" w:hAnsi="仿宋" w:eastAsia="仿宋" w:cs="仿宋"/>
          <w:bCs/>
          <w:color w:val="auto"/>
          <w:kern w:val="0"/>
          <w:sz w:val="32"/>
          <w:szCs w:val="32"/>
          <w:highlight w:val="none"/>
        </w:rPr>
        <w:t>上升3.33%</w:t>
      </w:r>
      <w:r>
        <w:rPr>
          <w:rFonts w:hint="eastAsia" w:ascii="仿宋" w:hAnsi="仿宋" w:eastAsia="仿宋" w:cs="仿宋"/>
          <w:bCs/>
          <w:color w:val="auto"/>
          <w:kern w:val="0"/>
          <w:sz w:val="32"/>
          <w:szCs w:val="32"/>
        </w:rPr>
        <w:t>，主要是在职人员工资、保险等人员经费增加。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
          <w:color w:val="auto"/>
          <w:kern w:val="0"/>
          <w:sz w:val="32"/>
          <w:szCs w:val="32"/>
        </w:rPr>
      </w:pPr>
      <w:r>
        <w:rPr>
          <w:rFonts w:hint="eastAsia" w:ascii="仿宋" w:hAnsi="仿宋" w:eastAsia="仿宋" w:cs="仿宋"/>
          <w:b/>
          <w:color w:val="auto"/>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2021年一般公共预算拨款收入2333.34万元，</w:t>
      </w:r>
      <w:r>
        <w:rPr>
          <w:rFonts w:hint="eastAsia" w:ascii="仿宋" w:hAnsi="仿宋" w:eastAsia="仿宋" w:cs="仿宋"/>
          <w:bCs/>
          <w:color w:val="auto"/>
          <w:kern w:val="0"/>
          <w:sz w:val="32"/>
          <w:szCs w:val="32"/>
          <w:highlight w:val="none"/>
        </w:rPr>
        <w:t>其中，一般公共服务0万元，占0%，公共安全2136.14万元，占91.55%，社会保障和就业支出87.13万元，占3.73%，住房保障支出110.07万元，占4.72%</w:t>
      </w:r>
      <w:r>
        <w:rPr>
          <w:rFonts w:hint="eastAsia" w:ascii="仿宋" w:hAnsi="仿宋" w:eastAsia="仿宋" w:cs="仿宋"/>
          <w:bCs/>
          <w:color w:val="auto"/>
          <w:kern w:val="0"/>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（一）基本支出：</w:t>
      </w:r>
      <w:r>
        <w:rPr>
          <w:rFonts w:hint="eastAsia" w:ascii="仿宋" w:hAnsi="仿宋" w:eastAsia="仿宋" w:cs="仿宋"/>
          <w:bCs/>
          <w:color w:val="auto"/>
          <w:kern w:val="0"/>
          <w:sz w:val="32"/>
          <w:szCs w:val="32"/>
        </w:rPr>
        <w:t>2021年本部门基本支出预算数为</w:t>
      </w:r>
      <w:r>
        <w:rPr>
          <w:rFonts w:hint="eastAsia" w:ascii="仿宋" w:hAnsi="仿宋" w:eastAsia="仿宋" w:cs="仿宋"/>
          <w:bCs/>
          <w:color w:val="auto"/>
          <w:kern w:val="0"/>
          <w:sz w:val="32"/>
          <w:szCs w:val="32"/>
          <w:highlight w:val="none"/>
        </w:rPr>
        <w:t>1632.97</w:t>
      </w:r>
      <w:r>
        <w:rPr>
          <w:rFonts w:hint="eastAsia" w:ascii="仿宋" w:hAnsi="仿宋" w:eastAsia="仿宋" w:cs="仿宋"/>
          <w:bCs/>
          <w:color w:val="auto"/>
          <w:kern w:val="0"/>
          <w:sz w:val="32"/>
          <w:szCs w:val="32"/>
        </w:rPr>
        <w:t>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（二）项目支出：</w:t>
      </w:r>
      <w:r>
        <w:rPr>
          <w:rFonts w:hint="eastAsia" w:ascii="仿宋" w:hAnsi="仿宋" w:eastAsia="仿宋" w:cs="仿宋"/>
          <w:bCs/>
          <w:color w:val="auto"/>
          <w:kern w:val="0"/>
          <w:sz w:val="32"/>
          <w:szCs w:val="32"/>
        </w:rPr>
        <w:t>2021年本部门项目支出预算数为700.37万元，是指单位为完成特定行政工作任务或事业发展目标而发生的支出，包括有关事业发展专项、专项业务费、基本建设支出、对市县专项补助等。其中：防纠纷激化经费项目支出4.75万元，主要用于聘请法律顾问，协助处理年内各类信访积案；法律援助办案经费项目支出92元，主要用于法律援助业务必需的费用、办案补贴、开展法律援助宣传、培训等；普法经费项目支出60万元，主要用于全区公民法制宣传教育、业务培训和建设一批不同类型、不同规模的法制宣传场所；安置帮教经费项目支出14万元，主要用于开展入监帮扶活动，共建安置帮教基地等；人民调解经费项目支出35万元，主要用于购买人民调解服务和“以奖代补”；社区矫正经费项目支出67.5万元，主要用于购买服务、培训、社会调查评估、社区矫正信息管理系统维护、突发事件处置等；专职调解员工资项目支出190.62万元，主要用于专（兼）职调解员工资，专职调解员保险、公积金等；医调中心经费项目支出55.5万元，主要用于调解委员会专项维稳，医调中心工作人员工资、保险等；司法所经费项目支出50万元，主要用于人民调解、安置帮教、法制宣传等。法制专项经费项目支出22万元，主要用于法制宣传及执法人员培训和规范性文件管理和依法行政指导。政府法律顾问经费项目支出14万元，主要用于聘请政府法律顾问。代理诉讼费用经费项目支出95万元，主要用于代理诉讼费用和档案整理。</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五、其他重要事项的情况说明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（一）机关运行经费：</w:t>
      </w:r>
      <w:r>
        <w:rPr>
          <w:rFonts w:hint="eastAsia" w:ascii="仿宋" w:hAnsi="仿宋" w:eastAsia="仿宋" w:cs="仿宋"/>
          <w:bCs/>
          <w:color w:val="auto"/>
          <w:kern w:val="0"/>
          <w:sz w:val="32"/>
          <w:szCs w:val="32"/>
        </w:rPr>
        <w:t>2021年局机关的机关运行经费当年一般公共预算拨款</w:t>
      </w:r>
      <w:r>
        <w:rPr>
          <w:rFonts w:hint="eastAsia" w:ascii="仿宋" w:hAnsi="仿宋" w:eastAsia="仿宋" w:cs="仿宋"/>
          <w:bCs/>
          <w:color w:val="auto"/>
          <w:kern w:val="0"/>
          <w:sz w:val="32"/>
          <w:szCs w:val="32"/>
          <w:lang w:val="en-US" w:eastAsia="zh-CN"/>
        </w:rPr>
        <w:t>96.91</w:t>
      </w:r>
      <w:r>
        <w:rPr>
          <w:rFonts w:hint="eastAsia" w:ascii="仿宋" w:hAnsi="仿宋" w:eastAsia="仿宋" w:cs="仿宋"/>
          <w:bCs/>
          <w:color w:val="auto"/>
          <w:kern w:val="0"/>
          <w:sz w:val="32"/>
          <w:szCs w:val="32"/>
        </w:rPr>
        <w:t>万元，比2020年预算增加</w:t>
      </w:r>
      <w:r>
        <w:rPr>
          <w:rFonts w:hint="eastAsia" w:ascii="仿宋" w:hAnsi="仿宋" w:eastAsia="仿宋" w:cs="仿宋"/>
          <w:bCs/>
          <w:color w:val="auto"/>
          <w:kern w:val="0"/>
          <w:sz w:val="32"/>
          <w:szCs w:val="32"/>
          <w:lang w:val="en-US" w:eastAsia="zh-CN"/>
        </w:rPr>
        <w:t>4.58</w:t>
      </w:r>
      <w:r>
        <w:rPr>
          <w:rFonts w:hint="eastAsia" w:ascii="仿宋" w:hAnsi="仿宋" w:eastAsia="仿宋" w:cs="仿宋"/>
          <w:bCs/>
          <w:color w:val="auto"/>
          <w:kern w:val="0"/>
          <w:sz w:val="32"/>
          <w:szCs w:val="32"/>
        </w:rPr>
        <w:t>万元，</w:t>
      </w:r>
      <w:r>
        <w:rPr>
          <w:rFonts w:hint="eastAsia" w:ascii="仿宋" w:hAnsi="仿宋" w:eastAsia="仿宋" w:cs="仿宋"/>
          <w:bCs/>
          <w:color w:val="auto"/>
          <w:kern w:val="0"/>
          <w:sz w:val="32"/>
          <w:szCs w:val="32"/>
          <w:highlight w:val="none"/>
        </w:rPr>
        <w:t>上升</w:t>
      </w:r>
      <w:r>
        <w:rPr>
          <w:rFonts w:hint="eastAsia" w:ascii="仿宋" w:hAnsi="仿宋" w:eastAsia="仿宋" w:cs="仿宋"/>
          <w:bCs/>
          <w:color w:val="auto"/>
          <w:kern w:val="0"/>
          <w:sz w:val="32"/>
          <w:szCs w:val="32"/>
          <w:highlight w:val="none"/>
          <w:lang w:val="en-US" w:eastAsia="zh-CN"/>
        </w:rPr>
        <w:t>4.96</w:t>
      </w:r>
      <w:r>
        <w:rPr>
          <w:rFonts w:hint="eastAsia" w:ascii="仿宋" w:hAnsi="仿宋" w:eastAsia="仿宋" w:cs="仿宋"/>
          <w:bCs/>
          <w:color w:val="auto"/>
          <w:kern w:val="0"/>
          <w:sz w:val="32"/>
          <w:szCs w:val="32"/>
          <w:highlight w:val="none"/>
        </w:rPr>
        <w:t>%</w:t>
      </w:r>
      <w:r>
        <w:rPr>
          <w:rFonts w:hint="eastAsia" w:ascii="仿宋" w:hAnsi="仿宋" w:eastAsia="仿宋" w:cs="仿宋"/>
          <w:bCs/>
          <w:color w:val="auto"/>
          <w:kern w:val="0"/>
          <w:sz w:val="32"/>
          <w:szCs w:val="32"/>
        </w:rPr>
        <w:t>，主要是在职人员工资、保险等人员经费增加。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（二）“三公”经费预算：</w:t>
      </w:r>
      <w:r>
        <w:rPr>
          <w:rFonts w:hint="eastAsia" w:ascii="仿宋" w:hAnsi="仿宋" w:eastAsia="仿宋" w:cs="仿宋"/>
          <w:bCs/>
          <w:color w:val="auto"/>
          <w:kern w:val="0"/>
          <w:sz w:val="32"/>
          <w:szCs w:val="32"/>
        </w:rPr>
        <w:t>2021年“三公”经费预算数为3.5万元，其中，公务接待费1.5万元，公务用车购置及运行费2万元（其中，公务用车购置费0万元，公务用车运行费2万元），因公出国（境）费0万元。2021年“三公”经费预算较2020年增加3万元，主要是2020年我局获得国家、省、市级荣誉、全省“七五”普法先进单位和全省法治政府建设示范单位，相关单位来学习、交流机会增加；公务用车有1辆，导致公务用车运行费增加。</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Cs/>
          <w:color w:val="auto"/>
          <w:kern w:val="0"/>
          <w:sz w:val="32"/>
          <w:szCs w:val="32"/>
          <w:highlight w:val="none"/>
          <w:u w:val="none"/>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Cs/>
          <w:color w:val="auto"/>
          <w:sz w:val="32"/>
          <w:szCs w:val="32"/>
          <w:highlight w:val="none"/>
          <w:u w:val="none"/>
        </w:rPr>
        <w:t>2021</w:t>
      </w:r>
      <w:r>
        <w:rPr>
          <w:rFonts w:hint="eastAsia" w:ascii="仿宋" w:hAnsi="仿宋" w:eastAsia="仿宋" w:cs="仿宋"/>
          <w:bCs/>
          <w:color w:val="auto"/>
          <w:kern w:val="0"/>
          <w:sz w:val="32"/>
          <w:szCs w:val="32"/>
          <w:highlight w:val="none"/>
          <w:u w:val="none"/>
        </w:rPr>
        <w:t>年本部门会议费预算</w:t>
      </w:r>
      <w:r>
        <w:rPr>
          <w:rFonts w:hint="eastAsia" w:ascii="仿宋" w:hAnsi="仿宋" w:eastAsia="仿宋" w:cs="仿宋"/>
          <w:bCs/>
          <w:color w:val="auto"/>
          <w:sz w:val="32"/>
          <w:szCs w:val="32"/>
          <w:highlight w:val="none"/>
          <w:u w:val="none"/>
          <w:lang w:val="en-US" w:eastAsia="zh-CN"/>
        </w:rPr>
        <w:t>5</w:t>
      </w:r>
      <w:r>
        <w:rPr>
          <w:rFonts w:hint="eastAsia" w:ascii="仿宋" w:hAnsi="仿宋" w:eastAsia="仿宋" w:cs="仿宋"/>
          <w:bCs/>
          <w:color w:val="auto"/>
          <w:kern w:val="0"/>
          <w:sz w:val="32"/>
          <w:szCs w:val="32"/>
          <w:highlight w:val="none"/>
          <w:u w:val="none"/>
        </w:rPr>
        <w:t>万元，拟召开</w:t>
      </w:r>
      <w:r>
        <w:rPr>
          <w:rFonts w:hint="eastAsia" w:ascii="仿宋" w:hAnsi="仿宋" w:eastAsia="仿宋" w:cs="仿宋"/>
          <w:bCs/>
          <w:color w:val="auto"/>
          <w:kern w:val="0"/>
          <w:sz w:val="32"/>
          <w:szCs w:val="32"/>
          <w:highlight w:val="none"/>
          <w:u w:val="none"/>
          <w:lang w:eastAsia="zh-CN"/>
        </w:rPr>
        <w:t>行政复议委员会疑难法律问题研讨会</w:t>
      </w:r>
      <w:r>
        <w:rPr>
          <w:rFonts w:hint="eastAsia" w:ascii="仿宋" w:hAnsi="仿宋" w:eastAsia="仿宋" w:cs="仿宋"/>
          <w:bCs/>
          <w:color w:val="auto"/>
          <w:kern w:val="0"/>
          <w:sz w:val="32"/>
          <w:szCs w:val="32"/>
          <w:highlight w:val="none"/>
          <w:u w:val="none"/>
        </w:rPr>
        <w:t>会议，人数</w:t>
      </w:r>
      <w:r>
        <w:rPr>
          <w:rFonts w:hint="eastAsia" w:ascii="仿宋" w:hAnsi="仿宋" w:eastAsia="仿宋" w:cs="仿宋"/>
          <w:bCs/>
          <w:color w:val="auto"/>
          <w:sz w:val="32"/>
          <w:szCs w:val="32"/>
          <w:highlight w:val="none"/>
          <w:u w:val="none"/>
          <w:lang w:val="en-US" w:eastAsia="zh-CN"/>
        </w:rPr>
        <w:t>400</w:t>
      </w:r>
      <w:r>
        <w:rPr>
          <w:rFonts w:hint="eastAsia" w:ascii="仿宋" w:hAnsi="仿宋" w:eastAsia="仿宋" w:cs="仿宋"/>
          <w:bCs/>
          <w:color w:val="auto"/>
          <w:kern w:val="0"/>
          <w:sz w:val="32"/>
          <w:szCs w:val="32"/>
          <w:highlight w:val="none"/>
          <w:u w:val="none"/>
        </w:rPr>
        <w:t>人，内容为</w:t>
      </w:r>
      <w:r>
        <w:rPr>
          <w:rFonts w:hint="eastAsia" w:ascii="仿宋" w:hAnsi="仿宋" w:eastAsia="仿宋" w:cs="仿宋"/>
          <w:bCs/>
          <w:color w:val="auto"/>
          <w:kern w:val="0"/>
          <w:sz w:val="32"/>
          <w:szCs w:val="32"/>
          <w:highlight w:val="none"/>
          <w:u w:val="none"/>
          <w:lang w:eastAsia="zh-CN"/>
        </w:rPr>
        <w:t>行政复议委员会疑难法律问题研讨会</w:t>
      </w:r>
      <w:r>
        <w:rPr>
          <w:rFonts w:hint="eastAsia" w:ascii="仿宋" w:hAnsi="仿宋" w:eastAsia="仿宋" w:cs="仿宋"/>
          <w:bCs/>
          <w:color w:val="auto"/>
          <w:kern w:val="0"/>
          <w:sz w:val="32"/>
          <w:szCs w:val="32"/>
          <w:highlight w:val="none"/>
          <w:u w:val="none"/>
        </w:rPr>
        <w:t>；培训费预算</w:t>
      </w:r>
      <w:r>
        <w:rPr>
          <w:rFonts w:hint="eastAsia" w:ascii="仿宋" w:hAnsi="仿宋" w:eastAsia="仿宋" w:cs="仿宋"/>
          <w:bCs/>
          <w:color w:val="auto"/>
          <w:sz w:val="32"/>
          <w:szCs w:val="32"/>
          <w:highlight w:val="none"/>
          <w:u w:val="none"/>
          <w:lang w:val="en-US" w:eastAsia="zh-CN"/>
        </w:rPr>
        <w:t>17.6</w:t>
      </w:r>
      <w:r>
        <w:rPr>
          <w:rFonts w:hint="eastAsia" w:ascii="仿宋" w:hAnsi="仿宋" w:eastAsia="仿宋" w:cs="仿宋"/>
          <w:bCs/>
          <w:color w:val="auto"/>
          <w:kern w:val="0"/>
          <w:sz w:val="32"/>
          <w:szCs w:val="32"/>
          <w:highlight w:val="none"/>
          <w:u w:val="none"/>
        </w:rPr>
        <w:t>万元，拟开展</w:t>
      </w:r>
      <w:r>
        <w:rPr>
          <w:rFonts w:hint="eastAsia" w:ascii="仿宋" w:hAnsi="仿宋" w:eastAsia="仿宋" w:cs="仿宋"/>
          <w:bCs/>
          <w:color w:val="auto"/>
          <w:sz w:val="32"/>
          <w:szCs w:val="32"/>
          <w:highlight w:val="none"/>
          <w:u w:val="none"/>
          <w:lang w:eastAsia="zh-CN"/>
        </w:rPr>
        <w:t>对法治副校长、普法志愿者、法律明白人等法治宣传骨干等</w:t>
      </w:r>
      <w:r>
        <w:rPr>
          <w:rFonts w:hint="eastAsia" w:ascii="仿宋" w:hAnsi="仿宋" w:eastAsia="仿宋" w:cs="仿宋"/>
          <w:bCs/>
          <w:color w:val="auto"/>
          <w:sz w:val="32"/>
          <w:szCs w:val="32"/>
          <w:highlight w:val="none"/>
          <w:u w:val="none"/>
          <w:lang w:val="en-US" w:eastAsia="zh-CN"/>
        </w:rPr>
        <w:t>10场次</w:t>
      </w:r>
      <w:r>
        <w:rPr>
          <w:rFonts w:hint="eastAsia" w:ascii="仿宋" w:hAnsi="仿宋" w:eastAsia="仿宋" w:cs="仿宋"/>
          <w:bCs/>
          <w:color w:val="auto"/>
          <w:kern w:val="0"/>
          <w:sz w:val="32"/>
          <w:szCs w:val="32"/>
          <w:highlight w:val="none"/>
          <w:u w:val="none"/>
        </w:rPr>
        <w:t>培训，人数</w:t>
      </w:r>
      <w:r>
        <w:rPr>
          <w:rFonts w:hint="eastAsia" w:ascii="仿宋" w:hAnsi="仿宋" w:eastAsia="仿宋" w:cs="仿宋"/>
          <w:bCs/>
          <w:color w:val="auto"/>
          <w:sz w:val="32"/>
          <w:szCs w:val="32"/>
          <w:highlight w:val="none"/>
          <w:u w:val="none"/>
          <w:lang w:val="en-US" w:eastAsia="zh-CN"/>
        </w:rPr>
        <w:t>1600</w:t>
      </w:r>
      <w:r>
        <w:rPr>
          <w:rFonts w:hint="eastAsia" w:ascii="仿宋" w:hAnsi="仿宋" w:eastAsia="仿宋" w:cs="仿宋"/>
          <w:bCs/>
          <w:color w:val="auto"/>
          <w:kern w:val="0"/>
          <w:sz w:val="32"/>
          <w:szCs w:val="32"/>
          <w:highlight w:val="none"/>
          <w:u w:val="none"/>
        </w:rPr>
        <w:t>人，内容</w:t>
      </w:r>
      <w:r>
        <w:rPr>
          <w:rFonts w:hint="eastAsia" w:ascii="仿宋" w:hAnsi="仿宋" w:eastAsia="仿宋" w:cs="仿宋"/>
          <w:bCs/>
          <w:color w:val="auto"/>
          <w:kern w:val="0"/>
          <w:sz w:val="32"/>
          <w:szCs w:val="32"/>
          <w:highlight w:val="none"/>
          <w:u w:val="none"/>
          <w:lang w:eastAsia="zh-CN"/>
        </w:rPr>
        <w:t>分别</w:t>
      </w:r>
      <w:r>
        <w:rPr>
          <w:rFonts w:hint="eastAsia" w:ascii="仿宋" w:hAnsi="仿宋" w:eastAsia="仿宋" w:cs="仿宋"/>
          <w:bCs/>
          <w:color w:val="auto"/>
          <w:kern w:val="0"/>
          <w:sz w:val="32"/>
          <w:szCs w:val="32"/>
          <w:highlight w:val="none"/>
          <w:u w:val="none"/>
        </w:rPr>
        <w:t>为</w:t>
      </w:r>
      <w:r>
        <w:rPr>
          <w:rFonts w:hint="eastAsia" w:ascii="仿宋" w:hAnsi="仿宋" w:eastAsia="仿宋" w:cs="仿宋"/>
          <w:bCs/>
          <w:color w:val="auto"/>
          <w:sz w:val="32"/>
          <w:szCs w:val="32"/>
          <w:highlight w:val="none"/>
          <w:u w:val="none"/>
          <w:lang w:eastAsia="zh-CN"/>
        </w:rPr>
        <w:t>对法治副校长、普法志愿者、法律明白人等法治宣传骨干</w:t>
      </w:r>
      <w:r>
        <w:rPr>
          <w:rFonts w:hint="eastAsia" w:ascii="仿宋" w:hAnsi="仿宋" w:eastAsia="仿宋" w:cs="仿宋"/>
          <w:bCs/>
          <w:color w:val="auto"/>
          <w:kern w:val="0"/>
          <w:sz w:val="32"/>
          <w:szCs w:val="32"/>
          <w:highlight w:val="none"/>
          <w:u w:val="none"/>
        </w:rPr>
        <w:t>；</w:t>
      </w:r>
      <w:r>
        <w:rPr>
          <w:rFonts w:hint="eastAsia" w:ascii="仿宋" w:hAnsi="仿宋" w:eastAsia="仿宋" w:cs="仿宋"/>
          <w:bCs/>
          <w:color w:val="auto"/>
          <w:kern w:val="0"/>
          <w:sz w:val="32"/>
          <w:szCs w:val="32"/>
          <w:highlight w:val="none"/>
          <w:u w:val="none"/>
          <w:lang w:eastAsia="zh-CN"/>
        </w:rPr>
        <w:t>专职法援律师培训；对社矫工作人员专业培训；对各片区专职调解员和社区（村）调解专干进行培训；组织全区行政执法人员培训；</w:t>
      </w:r>
      <w:r>
        <w:rPr>
          <w:rFonts w:hint="eastAsia" w:ascii="仿宋" w:hAnsi="仿宋" w:eastAsia="仿宋" w:cs="仿宋"/>
          <w:bCs/>
          <w:color w:val="auto"/>
          <w:kern w:val="0"/>
          <w:sz w:val="32"/>
          <w:szCs w:val="32"/>
          <w:highlight w:val="none"/>
          <w:u w:val="none"/>
          <w:lang w:val="en-US" w:eastAsia="zh-CN"/>
        </w:rPr>
        <w:t>未</w:t>
      </w:r>
      <w:r>
        <w:rPr>
          <w:rFonts w:hint="eastAsia" w:ascii="仿宋" w:hAnsi="仿宋" w:eastAsia="仿宋" w:cs="仿宋"/>
          <w:bCs/>
          <w:color w:val="auto"/>
          <w:kern w:val="0"/>
          <w:sz w:val="32"/>
          <w:szCs w:val="32"/>
          <w:highlight w:val="none"/>
          <w:u w:val="none"/>
        </w:rPr>
        <w:t>举办节庆、晚会、论坛、赛事活动，经费预算</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（四）政府采购情况：</w:t>
      </w:r>
      <w:r>
        <w:rPr>
          <w:rFonts w:hint="eastAsia" w:ascii="仿宋" w:hAnsi="仿宋" w:eastAsia="仿宋" w:cs="仿宋"/>
          <w:bCs/>
          <w:color w:val="auto"/>
          <w:kern w:val="0"/>
          <w:sz w:val="32"/>
          <w:szCs w:val="32"/>
        </w:rPr>
        <w:t>2021年长沙市开福区司法局单位政府采购预算总额140万元，其中：政府采购货物预算13万元、政府采购工程预算0万元、政府采购服务预算127万元。</w:t>
      </w:r>
    </w:p>
    <w:p>
      <w:pPr>
        <w:widowControl/>
        <w:spacing w:line="600" w:lineRule="exact"/>
        <w:ind w:firstLine="640" w:firstLineChars="200"/>
        <w:rPr>
          <w:rFonts w:ascii="仿宋" w:hAnsi="仿宋" w:eastAsia="仿宋" w:cs="仿宋"/>
          <w:bCs/>
          <w:color w:val="auto"/>
          <w:kern w:val="0"/>
          <w:sz w:val="32"/>
          <w:szCs w:val="32"/>
          <w:highlight w:val="none"/>
        </w:rPr>
      </w:pPr>
      <w:r>
        <w:rPr>
          <w:rFonts w:hint="eastAsia" w:ascii="仿宋" w:hAnsi="仿宋" w:eastAsia="仿宋" w:cs="仿宋"/>
          <w:b/>
          <w:color w:val="auto"/>
          <w:kern w:val="0"/>
          <w:sz w:val="32"/>
          <w:szCs w:val="32"/>
          <w:highlight w:val="none"/>
        </w:rPr>
        <w:t>（五）国有资产占有使用情况:</w:t>
      </w:r>
      <w:r>
        <w:rPr>
          <w:rFonts w:hint="eastAsia" w:ascii="仿宋" w:hAnsi="仿宋" w:eastAsia="仿宋" w:cs="仿宋"/>
          <w:bCs/>
          <w:color w:val="auto"/>
          <w:kern w:val="0"/>
          <w:sz w:val="32"/>
          <w:szCs w:val="32"/>
        </w:rPr>
        <w:t>截至202</w:t>
      </w:r>
      <w:r>
        <w:rPr>
          <w:rFonts w:hint="eastAsia" w:ascii="仿宋" w:hAnsi="仿宋" w:eastAsia="仿宋" w:cs="仿宋"/>
          <w:bCs/>
          <w:color w:val="auto"/>
          <w:kern w:val="0"/>
          <w:sz w:val="32"/>
          <w:szCs w:val="32"/>
          <w:lang w:val="en-US" w:eastAsia="zh-CN"/>
        </w:rPr>
        <w:t>0</w:t>
      </w:r>
      <w:r>
        <w:rPr>
          <w:rFonts w:hint="eastAsia" w:ascii="仿宋" w:hAnsi="仿宋" w:eastAsia="仿宋" w:cs="仿宋"/>
          <w:bCs/>
          <w:color w:val="auto"/>
          <w:kern w:val="0"/>
          <w:sz w:val="32"/>
          <w:szCs w:val="32"/>
        </w:rPr>
        <w:t>年12月底，本部门共有公务用车</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rPr>
        <w:t>辆，其中，机要通信用车0辆，应急保障用车0辆，执法执勤用车0辆，特种专业技术用车0辆，其他按照规定配备的公务用车</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rPr>
        <w:t>辆；单位价值50万元以上通用设备0台，单位价值100万元以上专用设备0台。202</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rPr>
        <w:t>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（六）预算绩效管理情况：</w:t>
      </w:r>
      <w:r>
        <w:rPr>
          <w:rFonts w:hint="eastAsia" w:ascii="仿宋" w:hAnsi="仿宋" w:eastAsia="仿宋" w:cs="仿宋"/>
          <w:bCs/>
          <w:color w:val="auto"/>
          <w:kern w:val="0"/>
          <w:sz w:val="32"/>
          <w:szCs w:val="32"/>
        </w:rPr>
        <w:t>按照市本级预算绩效管理工作的总体要求，</w:t>
      </w:r>
      <w:r>
        <w:rPr>
          <w:rFonts w:hint="eastAsia" w:ascii="仿宋" w:hAnsi="仿宋" w:eastAsia="仿宋" w:cs="仿宋"/>
          <w:bCs/>
          <w:color w:val="auto"/>
          <w:kern w:val="0"/>
          <w:sz w:val="32"/>
          <w:szCs w:val="32"/>
          <w:highlight w:val="none"/>
        </w:rPr>
        <w:t>2021年长沙市开福区司法局整体支出</w:t>
      </w:r>
      <w:r>
        <w:rPr>
          <w:rFonts w:ascii="仿宋" w:hAnsi="仿宋" w:eastAsia="仿宋" w:cs="仿宋"/>
          <w:bCs/>
          <w:color w:val="auto"/>
          <w:kern w:val="0"/>
          <w:sz w:val="32"/>
          <w:szCs w:val="32"/>
          <w:highlight w:val="none"/>
        </w:rPr>
        <w:t>2333.34</w:t>
      </w:r>
      <w:r>
        <w:rPr>
          <w:rFonts w:hint="eastAsia" w:ascii="仿宋" w:hAnsi="仿宋" w:eastAsia="仿宋" w:cs="仿宋"/>
          <w:bCs/>
          <w:color w:val="auto"/>
          <w:kern w:val="0"/>
          <w:sz w:val="32"/>
          <w:szCs w:val="32"/>
          <w:highlight w:val="none"/>
        </w:rPr>
        <w:t>万元，其中，基本支出1632.97万元，项目支出700.37万元</w:t>
      </w:r>
      <w:r>
        <w:rPr>
          <w:rFonts w:hint="eastAsia" w:ascii="仿宋" w:hAnsi="仿宋" w:eastAsia="仿宋" w:cs="仿宋"/>
          <w:bCs/>
          <w:color w:val="auto"/>
          <w:kern w:val="0"/>
          <w:sz w:val="32"/>
          <w:szCs w:val="32"/>
        </w:rPr>
        <w:t>，全部实行整体支出绩效目标管理，编报绩效目标的项目12个，涉及项目支出700.37万元，其中：调解员工资项目190.62万元；安置帮教项目14万元；防纠纷激化项目4.75万元；司法所项目50万元；人民调解项目35万元；医调中心项目55.5万元；普法项目60万元；法律援助办案项目92万元；社区矫正项目67.5万元；法制专项项目22万元；代理诉讼项目95万元；政法法律顾问项目14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1、机关运行经费：是指各部门的公用经费，包括办公及印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2、“三公”经费：纳入财政预算管理的“三公“经费，是指用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rPr>
      </w:pPr>
      <w:r>
        <w:rPr>
          <w:rFonts w:hint="eastAsia" w:ascii="黑体" w:hAnsi="黑体" w:eastAsia="黑体" w:cs="黑体"/>
          <w:b/>
          <w:color w:val="auto"/>
          <w:kern w:val="0"/>
          <w:sz w:val="44"/>
          <w:szCs w:val="44"/>
        </w:rPr>
        <w:t>第二部分 2021年部门预算表</w:t>
      </w:r>
    </w:p>
    <w:p>
      <w:pPr>
        <w:widowControl/>
        <w:spacing w:line="600" w:lineRule="exact"/>
        <w:ind w:firstLine="640" w:firstLineChars="200"/>
        <w:rPr>
          <w:rFonts w:ascii="仿宋" w:hAnsi="仿宋" w:eastAsia="仿宋" w:cs="仿宋"/>
          <w:bCs/>
          <w:color w:val="auto"/>
          <w:kern w:val="0"/>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ZmVlZWE1YThmOTUxYzdmMmU4OWMyMmJiMWY5ZTgifQ=="/>
  </w:docVars>
  <w:rsids>
    <w:rsidRoot w:val="00572C53"/>
    <w:rsid w:val="000D23F5"/>
    <w:rsid w:val="000D5E9F"/>
    <w:rsid w:val="00572C53"/>
    <w:rsid w:val="006309F9"/>
    <w:rsid w:val="007D0BF0"/>
    <w:rsid w:val="008E4131"/>
    <w:rsid w:val="00C972CD"/>
    <w:rsid w:val="00D6650A"/>
    <w:rsid w:val="00D84F71"/>
    <w:rsid w:val="00FA4CA2"/>
    <w:rsid w:val="13C0517C"/>
    <w:rsid w:val="16FC471D"/>
    <w:rsid w:val="18517BA3"/>
    <w:rsid w:val="1C2F4C4D"/>
    <w:rsid w:val="1F5844BB"/>
    <w:rsid w:val="24831FDA"/>
    <w:rsid w:val="24F407F2"/>
    <w:rsid w:val="33FB2BB7"/>
    <w:rsid w:val="464A0752"/>
    <w:rsid w:val="4F9C5571"/>
    <w:rsid w:val="502251B2"/>
    <w:rsid w:val="5632461C"/>
    <w:rsid w:val="5FC418EE"/>
    <w:rsid w:val="68480538"/>
    <w:rsid w:val="7A9B1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6"/>
    <w:link w:val="2"/>
    <w:qFormat/>
    <w:uiPriority w:val="9"/>
    <w:rPr>
      <w:rFonts w:ascii="宋体" w:hAnsi="宋体" w:eastAsia="宋体" w:cs="宋体"/>
      <w:b/>
      <w:bCs/>
      <w:kern w:val="0"/>
      <w:sz w:val="27"/>
      <w:szCs w:val="27"/>
    </w:rPr>
  </w:style>
  <w:style w:type="character" w:customStyle="1" w:styleId="9">
    <w:name w:val="kf_sj"/>
    <w:basedOn w:val="6"/>
    <w:qFormat/>
    <w:uiPriority w:val="0"/>
  </w:style>
  <w:style w:type="character" w:customStyle="1" w:styleId="10">
    <w:name w:val="kf_ly"/>
    <w:basedOn w:val="6"/>
    <w:qFormat/>
    <w:uiPriority w:val="0"/>
  </w:style>
  <w:style w:type="character" w:customStyle="1" w:styleId="11">
    <w:name w:val="页眉 Char"/>
    <w:basedOn w:val="6"/>
    <w:link w:val="4"/>
    <w:qFormat/>
    <w:uiPriority w:val="99"/>
    <w:rPr>
      <w:kern w:val="2"/>
      <w:sz w:val="18"/>
      <w:szCs w:val="18"/>
    </w:rPr>
  </w:style>
  <w:style w:type="character" w:customStyle="1" w:styleId="12">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3521</Words>
  <Characters>3781</Characters>
  <Lines>27</Lines>
  <Paragraphs>7</Paragraphs>
  <TotalTime>0</TotalTime>
  <ScaleCrop>false</ScaleCrop>
  <LinksUpToDate>false</LinksUpToDate>
  <CharactersWithSpaces>3815</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2022-06-28T13:35:00Z</dcterms:created>
  <dc:creator>Administrator</dc:creator>
  <cp:lastModifiedBy>洪荒</cp:lastModifiedBy>
  <dcterms:modified xsi:type="dcterms:W3CDTF">2022-08-19T03:26:24Z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863BC14C65B5458882B95133625044EE</vt:lpwstr>
  </property>
</Properties>
</file>