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项目支出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bCs w:val="0"/>
          <w:sz w:val="32"/>
          <w:szCs w:val="32"/>
          <w:lang w:eastAsia="zh-CN"/>
        </w:rPr>
        <w:t>项目支出</w:t>
      </w: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年我单位项目支出预算共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361.25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万元，包含项目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5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207.8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业务工作经费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207.8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万元、政府专项经费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万元），涵盖项目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6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line="660" w:lineRule="exact"/>
        <w:ind w:firstLine="600" w:firstLineChars="200"/>
        <w:jc w:val="right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金额单位：万元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91"/>
        <w:gridCol w:w="3340"/>
        <w:gridCol w:w="1176"/>
        <w:gridCol w:w="1315"/>
        <w:gridCol w:w="837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2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33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总额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其中：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资金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其中：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3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工委工作经费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一步加强监督工作。进行执法调研和执法检查，扎实开展民族团结进步（长沙）行、长沙环保世纪行、三湘农民健康（长沙）行、农产品质量安全（长沙）行、司法公正长沙行等系列活动；围绕政府工作报告和“一府一会两院”专项工作报告涉及内容进行调查研究，组织开展专题询问和工作评议。加强对改革发展重点领域的监督，抓好重大民生问题的监督，完善预决算审查监督，扎实开展司法、普法工作监督。做好人大信访工作。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87.75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代表活动经费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（下拨）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进一步加强代表工作。抓好代表议案审议和建议督办工作，优化代表履职服务保障，推进人大代表联系群众平台建设。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196.25（含下拨142.25）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196.25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（含下拨142.25）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52.29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6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人大代表培训经费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组织人大代表的履职培训和相关法律法规的学习，提高人大代表综合素质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2.73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4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预算联网监督经费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推进预算联网监督办公文件传输网络化、文件显示电子化、文件编辑智能化、文件输入输出可控化，推动形成绿色低碳循环发展新方式。在推进高效型、节约型机关建设等方面发挥积极作用。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4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人大常委会议经费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做好区人民代表大会、区人大常委会议、主任会议及常委会党组会议的会务工作。进一步完善区人大会议的组织和筹备工作，使会议高效、节俭，按照既定程序有序进行。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8.62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4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六届二次大会经费（追加预算）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人民代表大会经费。（预算追加）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61.23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（追加）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61.23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（追加）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56.37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4" w:hRule="atLeast"/>
        </w:trPr>
        <w:tc>
          <w:tcPr>
            <w:tcW w:w="5658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361.25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361.25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207.8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207.8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（二）项目绩效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目标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编报绩效目标的项目5个，涉及项目支出361.25万元。全部实行项目支出绩效目标管理。预算联网监督经费推进预算联网监督办公文件传输网络化、文件显示电子化、文件编辑智能化、文件输入输出可控化，推动形成绿色低碳循环发展新方式。在推进高效型、节约型机关建设等方面发挥积极作用。人大常委会议经费是为了做好区人民代表大会、区人大常委会议、主任会议及常委会党组会议的会务工作。进一步完善区人大会议的组织和筹备工作，使会议高效、节俭，按照既定程序有序进行。工委工作专项经费为进一步加强监督工作。进行执法调研和执法检查，扎实开展民族团结进步（长沙）行、长沙环保世纪行、三湘农民健康（长沙）行、农产品质量安全（长沙）行、司法公正长沙行等系列活动；围绕政府工作报告和“一府一会两院”专项工作报告涉及内容进行调查研究，组织开展专题询问和工作评议。加强对改革发展重点领域的监督，抓好重大民生问题的监督，完善预决算审查监督，扎实开展司法、普法工作监督。做好人大信访工作。代表活动经费是为了进一步加强代表工作。抓好代表议案审议和建议督办工作，优化代表履职服务保障，推进人大代表联系群众平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共召开区人民代表大会1次，常委会会议10次，主任会议24次；听取和审议“一府一委两院”专项工作报告21项；组织常委会组成人员和人大代表开展视察、调研28次；依法补选市十六届人大代表1名，区六届人大代表24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资金使用管理情况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严格执行国家财经法律法规和内部财务财产管理制度，控制和规范管理经费支出，增强经费预算刚性，提高资金使用效益。项目支出预算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361.25万，实际支出207.8万。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健全单位财务制度，严肃财经纪律，严格按财务会计制度规范单位财务行为；科学、合理编制预算，强化预算收支管理，确保财政资金使用合理合法化；强化会计监督，实施预算绩效管理，加强对单位财务活动的控制和监督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三、项目支出</w:t>
      </w:r>
      <w:r>
        <w:rPr>
          <w:rFonts w:hint="eastAsia" w:ascii="黑体" w:hAnsi="黑体" w:eastAsia="黑体" w:cs="黑体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按照区本级预算绩效管理工作的总体要求，全部实行整体支出绩效目标管理，编报绩效目标的项目5个，涉及项目支出361.25万元。全部实行项目支出绩效目标管理。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共召开区人民代表大会1次，常委会会议10次，主任会议24次；听取和审议“一府一委两院”专项工作报告21项；组织常委会组成人员和人大代表开展视察、调研28次；依法补选市十六届人大代表1名，区六届人大代表24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存在的主要问题：因全年工作安排，各项目的经费开支集中在下半年，导致预算执行进度较慢。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规范部门预算的编制，加强预算精细化管理。加强预算编制的前瞻性，按照新《预算法》及其实施条例的相关规定，科学、合理地编制本年预算草案，严格按照预算进行开支。二是加强预算执行的监督和管理，规范预算项目执行进度。科学设置预算绩效指标，合理安排经费和各项资金，严格按照预算指标及时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zg2ODMzYTBiOTYyZmI3ZWQzMjg2MDBiMDA2MzkifQ=="/>
  </w:docVars>
  <w:rsids>
    <w:rsidRoot w:val="55701FFE"/>
    <w:rsid w:val="047C3AA2"/>
    <w:rsid w:val="2DEF7B1E"/>
    <w:rsid w:val="357B28D6"/>
    <w:rsid w:val="53420DCF"/>
    <w:rsid w:val="55701FFE"/>
    <w:rsid w:val="575F768A"/>
    <w:rsid w:val="615723A3"/>
    <w:rsid w:val="71206826"/>
    <w:rsid w:val="742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1905</Words>
  <Characters>2043</Characters>
  <Lines>0</Lines>
  <Paragraphs>0</Paragraphs>
  <TotalTime>7</TotalTime>
  <ScaleCrop>false</ScaleCrop>
  <LinksUpToDate>false</LinksUpToDate>
  <CharactersWithSpaces>2072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2023-10-12T04:26:00Z</dcterms:created>
  <dc:creator>刘莉</dc:creator>
  <cp:lastModifiedBy>Administrator</cp:lastModifiedBy>
  <dcterms:modified xsi:type="dcterms:W3CDTF">2023-10-16T07:35:50Z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D12298FCDC6D41499F47B6ED6CE38066_11</vt:lpwstr>
  </property>
</Properties>
</file>