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项目支出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绩效自评报告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仿宋_GB2312"/>
          <w:color w:val="00000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项目支出</w:t>
      </w:r>
      <w:r>
        <w:rPr>
          <w:rFonts w:ascii="Times New Roman" w:hAnsi="Times New Roman" w:eastAsia="黑体" w:cs="Times New Roman"/>
          <w:sz w:val="32"/>
          <w:szCs w:val="32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 w:val="0"/>
          <w:bCs/>
          <w:sz w:val="32"/>
          <w:szCs w:val="32"/>
        </w:rPr>
        <w:t>（一）</w:t>
      </w:r>
      <w:r>
        <w:rPr>
          <w:rFonts w:hint="eastAsia" w:ascii="Times New Roman" w:hAnsi="Times New Roman" w:eastAsia="楷体_GB2312" w:cs="Times New Roman"/>
          <w:b w:val="0"/>
          <w:bCs/>
          <w:sz w:val="32"/>
          <w:szCs w:val="32"/>
          <w:lang w:eastAsia="zh-CN"/>
        </w:rPr>
        <w:t>项目支出</w:t>
      </w:r>
      <w:r>
        <w:rPr>
          <w:rFonts w:ascii="Times New Roman" w:hAnsi="Times New Roman" w:eastAsia="楷体_GB2312" w:cs="Times New Roman"/>
          <w:b w:val="0"/>
          <w:bCs/>
          <w:sz w:val="32"/>
          <w:szCs w:val="32"/>
        </w:rPr>
        <w:t>资金概况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2021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年我单位项目支出预算共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372.68 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万元，包含项目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6 </w:t>
      </w:r>
      <w:r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  <w:t>个，实际支出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430.54 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万元（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业务工作经费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430.54 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万元、专项经费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0 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万元、政府专项经费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0 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万元），涵盖项目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8 </w:t>
      </w:r>
      <w:r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  <w:t>个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具体情况如下：</w:t>
      </w:r>
    </w:p>
    <w:p>
      <w:pPr>
        <w:spacing w:line="660" w:lineRule="exact"/>
        <w:ind w:firstLine="480" w:firstLineChars="200"/>
        <w:jc w:val="right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金额单位：万元</w:t>
      </w:r>
    </w:p>
    <w:tbl>
      <w:tblPr>
        <w:tblStyle w:val="5"/>
        <w:tblW w:w="95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1064"/>
        <w:gridCol w:w="3623"/>
        <w:gridCol w:w="945"/>
        <w:gridCol w:w="1005"/>
        <w:gridCol w:w="840"/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144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064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项目类型</w:t>
            </w:r>
          </w:p>
        </w:tc>
        <w:tc>
          <w:tcPr>
            <w:tcW w:w="3623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资金用途、使用方向</w:t>
            </w: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预算金额</w:t>
            </w:r>
          </w:p>
        </w:tc>
        <w:tc>
          <w:tcPr>
            <w:tcW w:w="179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支出金额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4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23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指标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总额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其中：区级资金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支出总额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其中：区级资金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4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项目1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工委工作经费</w:t>
            </w:r>
          </w:p>
        </w:tc>
        <w:tc>
          <w:tcPr>
            <w:tcW w:w="36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一步加强监督工作。进行执法调研和执法检查，扎实开展民族团结进步（长沙）行、长沙环保世纪行、三湘农民健康（长沙）行、农产品质量安全（长沙）行、司法公正长沙行等系列活动；围绕政府工作报告和“一府一会两院”专项工作报告涉及内容进行调查研究，组织开展专题询问和工作评议。加强对改革发展重点领域的监督，抓好重大民生问题的监督，完善预决算审查监督，扎实开展司法、普法工作监督。做好人大信访工作。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110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110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38.53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38.53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14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项目2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代表活动经费</w:t>
            </w:r>
          </w:p>
        </w:tc>
        <w:tc>
          <w:tcPr>
            <w:tcW w:w="36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进一步加强代表工作。抓好代表议案审议和建议督办工作，优化代表履职服务保障，推进人大代表联系群众平台建设。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60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60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21.96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21.96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14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项目3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代表活动经费（下拨）</w:t>
            </w:r>
          </w:p>
        </w:tc>
        <w:tc>
          <w:tcPr>
            <w:tcW w:w="36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进一步加强代表工作。抓好代表议案审议和建议督办工作，优化代表履职服务保障，推进人大代表联系群众平台建设。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130.55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130.55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130.55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130.55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14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项目4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人大代表培训经费</w:t>
            </w:r>
          </w:p>
        </w:tc>
        <w:tc>
          <w:tcPr>
            <w:tcW w:w="36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组织人大代表的履职培训和相关法律法规的学习，提高人大代表综合素质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15.83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15.83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14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项目5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预算联网监督经费</w:t>
            </w:r>
          </w:p>
        </w:tc>
        <w:tc>
          <w:tcPr>
            <w:tcW w:w="36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推进预算联网监督办公文件传输网络化、文件显示电子化、文件编辑智能化、文件输入输出可控化，推动形成绿色低碳循环发展新方式。在推进高效型、节约型机关建设等方面发挥积极作用。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4.99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4.99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14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项目6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人大常委会议经费</w:t>
            </w:r>
          </w:p>
        </w:tc>
        <w:tc>
          <w:tcPr>
            <w:tcW w:w="36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做好区人民代表大会、区人大常委会议、主任会议及常委会党组会议的会务工作。进一步完善区人大会议的组织和筹备工作，使会议高效、节俭，按照既定程序有序进行。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12.13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12.13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10.18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10.18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14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项目7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换届选举经费</w:t>
            </w:r>
          </w:p>
        </w:tc>
        <w:tc>
          <w:tcPr>
            <w:tcW w:w="36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做好区人大换届选举工作。（预算追加）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39.1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39.1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14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项目8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五届六次大会及六届一次大会经费</w:t>
            </w:r>
          </w:p>
        </w:tc>
        <w:tc>
          <w:tcPr>
            <w:tcW w:w="36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两次人民代表大会经费。（预算追加）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115.97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115.97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831" w:type="dxa"/>
            <w:gridSpan w:val="3"/>
            <w:noWrap w:val="0"/>
            <w:vAlign w:val="center"/>
          </w:tcPr>
          <w:p>
            <w:pPr>
              <w:tabs>
                <w:tab w:val="left" w:pos="2243"/>
              </w:tabs>
              <w:spacing w:line="240" w:lineRule="auto"/>
              <w:jc w:val="both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ab/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372.68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372.68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377.11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377.11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hint="eastAsia" w:ascii="楷体" w:hAnsi="楷体" w:eastAsia="楷体" w:cs="楷体"/>
          <w:b w:val="0"/>
          <w:bCs/>
          <w:sz w:val="30"/>
          <w:szCs w:val="30"/>
        </w:rPr>
      </w:pPr>
      <w:r>
        <w:rPr>
          <w:rFonts w:hint="eastAsia" w:ascii="楷体" w:hAnsi="楷体" w:eastAsia="楷体" w:cs="楷体"/>
          <w:b w:val="0"/>
          <w:bCs/>
          <w:sz w:val="30"/>
          <w:szCs w:val="30"/>
          <w:lang w:eastAsia="zh-CN"/>
        </w:rPr>
        <w:t>（二）项目绩效</w:t>
      </w:r>
      <w:r>
        <w:rPr>
          <w:rFonts w:hint="eastAsia" w:ascii="楷体" w:hAnsi="楷体" w:eastAsia="楷体" w:cs="楷体"/>
          <w:b w:val="0"/>
          <w:bCs/>
          <w:sz w:val="30"/>
          <w:szCs w:val="30"/>
        </w:rPr>
        <w:t>目标</w:t>
      </w:r>
      <w:r>
        <w:rPr>
          <w:rFonts w:hint="eastAsia" w:ascii="楷体" w:hAnsi="楷体" w:eastAsia="楷体" w:cs="楷体"/>
          <w:b w:val="0"/>
          <w:bCs/>
          <w:sz w:val="30"/>
          <w:szCs w:val="30"/>
          <w:lang w:eastAsia="zh-CN"/>
        </w:rPr>
        <w:t>情况</w:t>
      </w:r>
    </w:p>
    <w:p>
      <w:pPr>
        <w:widowControl/>
        <w:spacing w:line="600" w:lineRule="exact"/>
        <w:ind w:firstLine="645"/>
        <w:jc w:val="left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本单位编报绩效目标的项目6个，涉及项目支出372.68万元。全部实行项目支出绩效目标管理。预算联网监督经费推进预算联网监督办公文件传输网络化、文件显示电子化、文件编辑智能化、文件输入输出可控化，推动形成绿色低碳循环发展新方式。在推进高效型、节约型机关建设等方面发挥积极作用。人大常委会议经费是为了做好区人民代表大会、区人大常委会议、主任会议及常委会党组会议的会务工作。进一步完善区人大会议的组织和筹备工作，使会议高效、节俭，按照既定程序有序进行。工委工作专项经费为进一步加强监督工作。进行执法调研和执法检查，扎实开展民族团结进步（长沙）行、长沙环保世纪行、三湘农民健康（长沙）行、农产品质量安全（长沙）行、司法公正长沙行等系列活动；围绕政府工作报告和“一府一会两院”专项工作报告涉及内容进行调查研究，组织开展专题询问和工作评议。加强对改革发展重点领域的监督，抓好重大民生问题的监督，完善预决算审查监督，扎实开展司法、普法工作监督。做好人大信访工作。代表活动经费是为了进一步加强代表工作。抓好代表议案审议和建议督办工作，优化代表履职服务保障，推进人大代表联系群众平台建设。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全年共召开区人民代表大会2次，举行区人大常委会会议7次、主任会议20次，听取和审议“一府两院”和常委会各工作部门的工作报告19项，作出决议决定5项，任免国家机关工作人员338人次，组织常委会组成人员和人大代表开展各类视察、调研和检查活动28次并完成人大换届选举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720" w:leftChars="0" w:hanging="1080" w:firstLineChars="0"/>
        <w:textAlignment w:val="auto"/>
        <w:rPr>
          <w:rFonts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 w:val="0"/>
          <w:bCs/>
          <w:sz w:val="32"/>
          <w:szCs w:val="32"/>
        </w:rPr>
        <w:t>资金使用管理情况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eastAsia="zh-CN"/>
        </w:rPr>
        <w:t>严格执行国家财经法律法规和内部财务财产管理制度，控制和规范管理经费支出，增强经费预算刚性，提高资金使用效益。项目支出预算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372.68万，实际支出430.54万。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二、</w:t>
      </w:r>
      <w:r>
        <w:rPr>
          <w:rFonts w:ascii="Times New Roman" w:hAnsi="Times New Roman" w:eastAsia="黑体" w:cs="Times New Roman"/>
          <w:sz w:val="32"/>
          <w:szCs w:val="32"/>
        </w:rPr>
        <w:t>绩效评价工作情况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楷体" w:hAnsi="楷体" w:eastAsia="楷体" w:cs="楷体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2021年健全单位财务制度，严肃财经纪律，严格按财务会计制度规范单位财务行为；科学、合理编制预算，强化预算收支管理，确保财政资金使用合理合法化；强化会计监督，实施预算绩效管理，加强对单位财务活动的控制和监督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360" w:leftChars="0" w:hanging="720" w:firstLineChars="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项目支出</w:t>
      </w:r>
      <w:r>
        <w:rPr>
          <w:rFonts w:ascii="Times New Roman" w:hAnsi="Times New Roman" w:eastAsia="黑体" w:cs="Times New Roman"/>
          <w:sz w:val="32"/>
          <w:szCs w:val="32"/>
        </w:rPr>
        <w:t>主要绩效</w:t>
      </w:r>
    </w:p>
    <w:p>
      <w:pPr>
        <w:widowControl/>
        <w:spacing w:line="600" w:lineRule="exact"/>
        <w:ind w:firstLine="645"/>
        <w:jc w:val="left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0"/>
          <w:szCs w:val="30"/>
          <w:lang w:val="en-US" w:eastAsia="zh-CN"/>
        </w:rPr>
        <w:t>按照区本级预算绩效管理工作的总体要求，全部实行整体支出绩效目标管理，编报绩效目标的项目6个，涉及项目支出372.68万元。全部实行项目支出绩效目标管理。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全年共召开区人民代表大会2次，举行区人大常委会会议7次、主任会议20次，听取和审议“一府两院”和常委会各工作部门的工作报告19项，作出决议决定5项，任免国家机关工作人员338人次，组织常委会组成人员和人大代表开展各类视察、调研和检查活动28次并完成人大换届选举工作。</w:t>
      </w:r>
    </w:p>
    <w:p>
      <w:pPr>
        <w:numPr>
          <w:ilvl w:val="0"/>
          <w:numId w:val="0"/>
        </w:numPr>
        <w:snapToGrid w:val="0"/>
        <w:spacing w:line="520" w:lineRule="exact"/>
        <w:ind w:firstLine="904" w:firstLineChars="300"/>
        <w:rPr>
          <w:rFonts w:hint="eastAsia" w:ascii="楷体" w:hAnsi="楷体" w:eastAsia="楷体" w:cs="楷体"/>
          <w:b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四、存在的问题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存在的主要问题：因全年工作安排，各项目的经费开支集中在下半年，导致预算执行进度较慢。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五、有关建议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一是规范部门预算的编制，加强预算精细化管理。加强预算编制的前瞻性，按照新《预算法》及其实施条例的相关规定，科学、合理地编制本年预算草案，严格按照预算进行开支。二是加强预算执行的监督和管理，规范预算项目执行进度。科学设置预算绩效指标，合理安排经费和各项资金，严格按照预算指标及时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六、其他需要说明的问题</w:t>
      </w:r>
    </w:p>
    <w:p>
      <w:r>
        <w:rPr>
          <w:rFonts w:hint="eastAsia" w:ascii="仿宋_GB2312"/>
          <w:color w:val="000000"/>
          <w:lang w:eastAsia="zh-CN"/>
        </w:rPr>
        <w:t>无</w:t>
      </w:r>
      <w:r>
        <w:rPr>
          <w:rFonts w:hint="eastAsia" w:ascii="仿宋_GB2312"/>
          <w:color w:val="000000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8206AD"/>
    <w:multiLevelType w:val="multilevel"/>
    <w:tmpl w:val="318206AD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9AC1E24"/>
    <w:multiLevelType w:val="multilevel"/>
    <w:tmpl w:val="79AC1E24"/>
    <w:lvl w:ilvl="0" w:tentative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yNzg2ODMzYTBiOTYyZmI3ZWQzMjg2MDBiMDA2MzkifQ=="/>
  </w:docVars>
  <w:rsids>
    <w:rsidRoot w:val="51852129"/>
    <w:rsid w:val="5185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2022-09-16T03:10:00Z</dcterms:created>
  <dc:creator>刘莉</dc:creator>
  <cp:lastModifiedBy>刘莉</cp:lastModifiedBy>
  <dcterms:modified xsi:type="dcterms:W3CDTF">2022-09-16T03:11:32Z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CF77A3628E8147A9922D8BAB6B04F081</vt:lpwstr>
  </property>
</Properties>
</file>