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ascii="方正小标宋简体" w:eastAsia="方正小标宋简体"/>
          <w:sz w:val="44"/>
          <w:szCs w:val="44"/>
        </w:rPr>
        <w:t>部门整体支出绩效自评报告</w:t>
      </w:r>
    </w:p>
    <w:p>
      <w:pPr>
        <w:pStyle w:val="6"/>
        <w:widowControl/>
        <w:numPr>
          <w:ilvl w:val="0"/>
          <w:numId w:val="1"/>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部门、单位基本情况</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（一）基本情况。</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1．主要职能：依照宪法和相关法律法规的规定开展工作。</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（1）负责召集本级人民代表大会会议和常委会议。</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（2）讨论和决定本行政区域内的重大事项。</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（3）确保国家宪法、法律在本行政区域内遵守和执行，负责本区的法律宣传和法制建设。</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（4）负责依法监督区人民政府、区人民法院、区人民检察院工作，促进“一府两院”改进工作，提高效率。</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（5）严格按照宪法和法律规定行使人事任免职权。</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（6）依法选举和补选长沙市和开福区人民代表大会代表。</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（7）负责联系区人民代表大会代表，受理人民群众对“一府两院”和国家机关工作人员的申诉和意见，撤销区人民政府的不适当的决定。</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（8）负责组织闭会期间的代表活动，定期组织代表视察，指导代表联组活动。</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（9）负责代表议案、批评、意见和建议的办理。</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（10）负责完成上级人大常委会交办的各项工作。</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2．机构情况</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长沙市开福区人大常委会是长沙市开福区人民代表大会的常设机关，对长沙市开福区人民代表大会负责并报告工作。</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长沙市开福区人民代表大会设专门委员会7个：民族华侨外事委员会、监察和司法委员会与法制委员会合署办公、财政经济委员会与预算工作委员会合署办公、教育科学文化卫生委员会、环境与资源保护委员会、农业与农村委员会、社会建设委员会。</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长沙市开福区人大常委会设办事机构、工作机构2个：区人大常委会办公室（加挂区人大常委会信访办公室牌子）、区人大常委会选举任免联络工作委员会。</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长沙市开福区人大常委会办公室下设长沙市开福区人大代表服务中心。</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人员情况</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本部门编制数44人，在职人数44人，其中：在岗人数44人；编外长期聘用人员0人；离退休人数9人，其中离休人员0人，退休人员9人。</w:t>
      </w:r>
    </w:p>
    <w:p>
      <w:pPr>
        <w:pStyle w:val="6"/>
        <w:widowControl/>
        <w:numPr>
          <w:ilvl w:val="0"/>
          <w:numId w:val="1"/>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一般公共预算支出情况</w:t>
      </w:r>
    </w:p>
    <w:p>
      <w:pPr>
        <w:pStyle w:val="6"/>
        <w:widowControl/>
        <w:numPr>
          <w:ilvl w:val="0"/>
          <w:numId w:val="2"/>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基本支出情况</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1、收入支出预算安排情况。</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2021年本单位年初预算收入1729.49万元，年初预算支出1729.49 万元，其中：基本支出预算1356.81万元（工资福利支出 1145.59 万元，对个人和家庭的补助51.06万元，商品和服务支出160.16 万元）；项目支出预算372.68万元。</w:t>
      </w:r>
    </w:p>
    <w:p>
      <w:pPr>
        <w:snapToGrid w:val="0"/>
        <w:spacing w:line="520" w:lineRule="exact"/>
        <w:ind w:firstLine="482" w:firstLineChars="200"/>
        <w:jc w:val="center"/>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b/>
          <w:bCs/>
          <w:color w:val="auto"/>
          <w:sz w:val="24"/>
          <w:szCs w:val="24"/>
          <w:lang w:val="en-US" w:eastAsia="zh-CN"/>
        </w:rPr>
        <w:t xml:space="preserve">      2021年初预算安排与上年预算指标对比情况           单位：万元</w:t>
      </w:r>
    </w:p>
    <w:tbl>
      <w:tblPr>
        <w:tblStyle w:val="4"/>
        <w:tblpPr w:leftFromText="180" w:rightFromText="180" w:vertAnchor="text" w:horzAnchor="page" w:tblpX="1372" w:tblpY="179"/>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855"/>
        <w:gridCol w:w="1320"/>
        <w:gridCol w:w="1340"/>
        <w:gridCol w:w="1505"/>
        <w:gridCol w:w="3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项目</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2021年预算数</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2020年预算数</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本年度与上年对比差额</w:t>
            </w:r>
          </w:p>
        </w:tc>
        <w:tc>
          <w:tcPr>
            <w:tcW w:w="3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主要原因说明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1、基本支出</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color w:val="auto"/>
                <w:sz w:val="24"/>
                <w:szCs w:val="24"/>
                <w:lang w:val="en-US" w:eastAsia="zh-CN"/>
              </w:rPr>
              <w:t>1356.81</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color w:val="auto"/>
                <w:sz w:val="24"/>
                <w:szCs w:val="24"/>
                <w:lang w:val="en-US" w:eastAsia="zh-CN"/>
              </w:rPr>
              <w:t xml:space="preserve">1194.88 </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161.93</w:t>
            </w:r>
          </w:p>
        </w:tc>
        <w:tc>
          <w:tcPr>
            <w:tcW w:w="3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sz w:val="24"/>
                <w:szCs w:val="24"/>
                <w:u w:val="none"/>
                <w:lang w:val="en-US" w:eastAsia="zh-CN"/>
              </w:rPr>
              <w:t>2021年将项目经费列支的临聘人员经费纳入人员经费预算；人员工资福利及社保提高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人员经费</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1196.65</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sz w:val="24"/>
                <w:szCs w:val="24"/>
                <w:u w:val="none"/>
                <w:lang w:val="en-US" w:eastAsia="zh-CN"/>
              </w:rPr>
              <w:t>1047.39</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149.26</w:t>
            </w:r>
          </w:p>
        </w:tc>
        <w:tc>
          <w:tcPr>
            <w:tcW w:w="3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2021年将项目经费列支的临聘人员经费纳入人员经费预算；人员工资福利及社保提高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 w:hRule="atLeast"/>
        </w:trPr>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日常公用经费</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color w:val="auto"/>
                <w:sz w:val="24"/>
                <w:szCs w:val="24"/>
                <w:lang w:val="en-US" w:eastAsia="zh-CN"/>
              </w:rPr>
              <w:t>160.16</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sz w:val="24"/>
                <w:szCs w:val="24"/>
                <w:u w:val="none"/>
                <w:lang w:val="en-US" w:eastAsia="zh-CN"/>
              </w:rPr>
              <w:t>147.48</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12.68</w:t>
            </w:r>
          </w:p>
        </w:tc>
        <w:tc>
          <w:tcPr>
            <w:tcW w:w="3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eastAsia="zh-CN"/>
              </w:rPr>
              <w:t>日常公用开支增加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3" w:hRule="atLeast"/>
        </w:trPr>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2、项目支出</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color w:val="auto"/>
                <w:sz w:val="24"/>
                <w:szCs w:val="24"/>
                <w:lang w:val="en-US" w:eastAsia="zh-CN"/>
              </w:rPr>
              <w:t xml:space="preserve"> 372.68</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sz w:val="24"/>
                <w:szCs w:val="24"/>
                <w:u w:val="none"/>
                <w:lang w:val="en-US" w:eastAsia="zh-CN"/>
              </w:rPr>
              <w:t>392.30</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-19.62</w:t>
            </w:r>
          </w:p>
        </w:tc>
        <w:tc>
          <w:tcPr>
            <w:tcW w:w="3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专项经费减少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1" w:hRule="atLeast"/>
        </w:trPr>
        <w:tc>
          <w:tcPr>
            <w:tcW w:w="1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合计</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color w:val="auto"/>
                <w:sz w:val="24"/>
                <w:szCs w:val="24"/>
                <w:lang w:val="en-US" w:eastAsia="zh-CN"/>
              </w:rPr>
              <w:t>1729.49</w:t>
            </w:r>
          </w:p>
        </w:tc>
        <w:tc>
          <w:tcPr>
            <w:tcW w:w="1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sz w:val="24"/>
                <w:szCs w:val="24"/>
                <w:u w:val="none"/>
                <w:lang w:val="en-US" w:eastAsia="zh-CN"/>
              </w:rPr>
              <w:t>1587.18</w:t>
            </w:r>
          </w:p>
        </w:tc>
        <w:tc>
          <w:tcPr>
            <w:tcW w:w="1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w:t>
            </w:r>
          </w:p>
        </w:tc>
        <w:tc>
          <w:tcPr>
            <w:tcW w:w="34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bl>
    <w:p>
      <w:pPr>
        <w:widowControl/>
        <w:numPr>
          <w:ilvl w:val="0"/>
          <w:numId w:val="0"/>
        </w:numPr>
        <w:spacing w:line="600" w:lineRule="exact"/>
        <w:ind w:firstLine="900" w:firstLineChars="300"/>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2、支出预算执行情况。</w:t>
      </w:r>
    </w:p>
    <w:p>
      <w:pPr>
        <w:widowControl/>
        <w:numPr>
          <w:ilvl w:val="0"/>
          <w:numId w:val="0"/>
        </w:numPr>
        <w:spacing w:line="600" w:lineRule="exact"/>
        <w:ind w:firstLine="900" w:firstLineChars="300"/>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2021年经费支出决算数为1827.94万元，其中：基本支出决算数为 1397.40万元（工资及福利支出 1193.98 万元，对个人及家庭补助支出66.87 万元，商品和服务支出128.29 万元，资本性支出8.27 万元）；项目支出决算数为 430.54 万元。</w:t>
      </w:r>
    </w:p>
    <w:p>
      <w:pPr>
        <w:snapToGrid w:val="0"/>
        <w:spacing w:line="520" w:lineRule="exact"/>
        <w:ind w:firstLine="482" w:firstLineChars="200"/>
        <w:rPr>
          <w:rFonts w:hint="eastAsia" w:ascii="仿宋_GB2312" w:hAnsi="仿宋_GB2312" w:eastAsia="仿宋_GB2312" w:cs="仿宋_GB2312"/>
          <w:b/>
          <w:color w:val="auto"/>
          <w:sz w:val="24"/>
          <w:szCs w:val="24"/>
          <w:lang w:val="en-US" w:eastAsia="zh-CN"/>
        </w:rPr>
      </w:pPr>
      <w:r>
        <w:rPr>
          <w:rFonts w:hint="eastAsia" w:ascii="仿宋_GB2312" w:hAnsi="仿宋_GB2312" w:eastAsia="仿宋_GB2312" w:cs="仿宋_GB2312"/>
          <w:b/>
          <w:color w:val="auto"/>
          <w:sz w:val="24"/>
          <w:szCs w:val="24"/>
        </w:rPr>
        <w:t>收入支出与预算对比分析。</w:t>
      </w:r>
      <w:r>
        <w:rPr>
          <w:rFonts w:hint="eastAsia" w:ascii="仿宋_GB2312" w:hAnsi="仿宋_GB2312" w:eastAsia="仿宋_GB2312" w:cs="仿宋_GB2312"/>
          <w:b/>
          <w:color w:val="auto"/>
          <w:sz w:val="24"/>
          <w:szCs w:val="24"/>
          <w:lang w:val="en-US" w:eastAsia="zh-CN"/>
        </w:rPr>
        <w:t xml:space="preserve">                            单位：万元</w:t>
      </w:r>
    </w:p>
    <w:tbl>
      <w:tblPr>
        <w:tblStyle w:val="4"/>
        <w:tblW w:w="0" w:type="auto"/>
        <w:tblInd w:w="-3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83"/>
        <w:gridCol w:w="1017"/>
        <w:gridCol w:w="1000"/>
        <w:gridCol w:w="1317"/>
        <w:gridCol w:w="4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项目</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2021支出决算</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2021支出预算</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决算与预算对比差额</w:t>
            </w:r>
          </w:p>
        </w:tc>
        <w:tc>
          <w:tcPr>
            <w:tcW w:w="408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差异原因分析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5" w:hRule="atLeast"/>
        </w:trPr>
        <w:tc>
          <w:tcPr>
            <w:tcW w:w="1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1、基本支出</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color w:val="auto"/>
                <w:sz w:val="24"/>
                <w:szCs w:val="24"/>
                <w:lang w:val="en-US" w:eastAsia="zh-CN"/>
              </w:rPr>
              <w:t>1397.40</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color w:val="auto"/>
                <w:sz w:val="24"/>
                <w:szCs w:val="24"/>
                <w:lang w:val="en-US" w:eastAsia="zh-CN"/>
              </w:rPr>
              <w:t>1356.81</w:t>
            </w:r>
          </w:p>
        </w:tc>
        <w:tc>
          <w:tcPr>
            <w:tcW w:w="1317"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40.59</w:t>
            </w:r>
          </w:p>
        </w:tc>
        <w:tc>
          <w:tcPr>
            <w:tcW w:w="4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lang w:eastAsia="zh-CN"/>
              </w:rPr>
              <w:t>人员工资福利及社保经费增加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8" w:hRule="atLeast"/>
        </w:trPr>
        <w:tc>
          <w:tcPr>
            <w:tcW w:w="1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人员经费</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1260.85</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sz w:val="24"/>
                <w:szCs w:val="24"/>
                <w:u w:val="none"/>
                <w:lang w:val="en-US" w:eastAsia="zh-CN"/>
              </w:rPr>
              <w:t>1196.65</w:t>
            </w:r>
          </w:p>
        </w:tc>
        <w:tc>
          <w:tcPr>
            <w:tcW w:w="1317"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64.20</w:t>
            </w:r>
          </w:p>
        </w:tc>
        <w:tc>
          <w:tcPr>
            <w:tcW w:w="4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lang w:eastAsia="zh-CN"/>
              </w:rPr>
              <w:t>人员工资福利及社保经费增加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4" w:hRule="atLeast"/>
        </w:trPr>
        <w:tc>
          <w:tcPr>
            <w:tcW w:w="1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日常公用经费</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136.56</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color w:val="auto"/>
                <w:sz w:val="24"/>
                <w:szCs w:val="24"/>
                <w:lang w:val="en-US" w:eastAsia="zh-CN"/>
              </w:rPr>
              <w:t>160.16</w:t>
            </w:r>
          </w:p>
        </w:tc>
        <w:tc>
          <w:tcPr>
            <w:tcW w:w="1317"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-23.60</w:t>
            </w:r>
          </w:p>
        </w:tc>
        <w:tc>
          <w:tcPr>
            <w:tcW w:w="408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i w:val="0"/>
                <w:color w:val="auto"/>
                <w:sz w:val="24"/>
                <w:szCs w:val="24"/>
                <w:u w:val="none"/>
                <w:lang w:eastAsia="zh-CN"/>
              </w:rPr>
            </w:pPr>
            <w:r>
              <w:rPr>
                <w:rFonts w:hint="eastAsia" w:ascii="仿宋_GB2312" w:hAnsi="仿宋_GB2312" w:eastAsia="仿宋_GB2312" w:cs="仿宋_GB2312"/>
                <w:i w:val="0"/>
                <w:color w:val="auto"/>
                <w:sz w:val="24"/>
                <w:szCs w:val="24"/>
                <w:u w:val="none"/>
                <w:lang w:val="en-US" w:eastAsia="zh-CN"/>
              </w:rPr>
              <w:t>厉行节约，日常运行经费减少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7" w:hRule="atLeast"/>
        </w:trPr>
        <w:tc>
          <w:tcPr>
            <w:tcW w:w="1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2、项目支出</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color w:val="auto"/>
                <w:sz w:val="24"/>
                <w:szCs w:val="24"/>
                <w:lang w:val="en-US" w:eastAsia="zh-CN"/>
              </w:rPr>
              <w:t xml:space="preserve"> 430.54 </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color w:val="auto"/>
                <w:sz w:val="24"/>
                <w:szCs w:val="24"/>
                <w:lang w:val="en-US" w:eastAsia="zh-CN"/>
              </w:rPr>
              <w:t xml:space="preserve"> 372.68</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57.86</w:t>
            </w:r>
          </w:p>
        </w:tc>
        <w:tc>
          <w:tcPr>
            <w:tcW w:w="408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lang w:eastAsia="zh-CN"/>
              </w:rPr>
              <w:t>省、市级专项经费的追加减</w:t>
            </w:r>
            <w:r>
              <w:rPr>
                <w:rFonts w:hint="eastAsia" w:ascii="仿宋_GB2312" w:hAnsi="仿宋_GB2312" w:eastAsia="仿宋_GB2312" w:cs="仿宋_GB2312"/>
                <w:i w:val="0"/>
                <w:color w:val="auto"/>
                <w:sz w:val="24"/>
                <w:szCs w:val="24"/>
                <w:u w:val="none"/>
                <w:lang w:val="en-US" w:eastAsia="zh-CN"/>
              </w:rPr>
              <w:t>增加;本年部门项目预算追加增加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5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xml:space="preserve">  合计</w:t>
            </w:r>
          </w:p>
        </w:tc>
        <w:tc>
          <w:tcPr>
            <w:tcW w:w="10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color w:val="auto"/>
                <w:sz w:val="24"/>
                <w:szCs w:val="24"/>
                <w:lang w:val="en-US" w:eastAsia="zh-CN"/>
              </w:rPr>
              <w:t>1827.94</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color w:val="auto"/>
                <w:sz w:val="24"/>
                <w:szCs w:val="24"/>
                <w:lang w:val="en-US" w:eastAsia="zh-CN"/>
              </w:rPr>
              <w:t>1729.49</w:t>
            </w:r>
          </w:p>
        </w:tc>
        <w:tc>
          <w:tcPr>
            <w:tcW w:w="13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w:t>
            </w:r>
          </w:p>
        </w:tc>
        <w:tc>
          <w:tcPr>
            <w:tcW w:w="408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color w:val="auto"/>
                <w:sz w:val="24"/>
                <w:szCs w:val="24"/>
                <w:u w:val="none"/>
              </w:rPr>
            </w:pPr>
          </w:p>
        </w:tc>
      </w:tr>
    </w:tbl>
    <w:p>
      <w:pPr>
        <w:pStyle w:val="6"/>
        <w:widowControl/>
        <w:numPr>
          <w:ilvl w:val="0"/>
          <w:numId w:val="0"/>
        </w:numPr>
        <w:spacing w:line="600" w:lineRule="exact"/>
        <w:ind w:left="640" w:leftChars="0"/>
        <w:rPr>
          <w:rFonts w:ascii="Times New Roman" w:hAnsi="Times New Roman" w:eastAsia="黑体" w:cs="Times New Roman"/>
          <w:sz w:val="32"/>
          <w:szCs w:val="32"/>
        </w:rPr>
      </w:pPr>
    </w:p>
    <w:p>
      <w:pPr>
        <w:pStyle w:val="6"/>
        <w:widowControl/>
        <w:numPr>
          <w:ilvl w:val="0"/>
          <w:numId w:val="2"/>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项目支出情况</w:t>
      </w:r>
    </w:p>
    <w:p>
      <w:pPr>
        <w:widowControl/>
        <w:numPr>
          <w:ilvl w:val="0"/>
          <w:numId w:val="0"/>
        </w:numPr>
        <w:spacing w:line="600" w:lineRule="exact"/>
        <w:ind w:firstLine="900" w:firstLineChars="300"/>
        <w:jc w:val="left"/>
        <w:rPr>
          <w:rFonts w:hint="eastAsia" w:ascii="仿宋_GB2312" w:hAnsi="宋体" w:eastAsia="仿宋_GB2312" w:cs="仿宋_GB2312"/>
          <w:i w:val="0"/>
          <w:color w:val="000000"/>
          <w:kern w:val="0"/>
          <w:sz w:val="20"/>
          <w:szCs w:val="20"/>
          <w:u w:val="none"/>
          <w:lang w:val="en-US" w:eastAsia="zh-CN" w:bidi="ar"/>
        </w:rPr>
      </w:pPr>
      <w:r>
        <w:rPr>
          <w:rFonts w:hint="eastAsia" w:ascii="楷体" w:hAnsi="楷体" w:eastAsia="楷体" w:cs="楷体"/>
          <w:sz w:val="30"/>
          <w:szCs w:val="30"/>
          <w:lang w:val="en-US" w:eastAsia="zh-CN"/>
        </w:rPr>
        <w:t>1、预算联网监督经费10万；2、工委工作专项经费110万；3、人大代表活动经费60万；4、人大代表培训经费50万；5、代表活动经费（下拨）130.55万；6、人大常委会议经费12.13万。7、本年部门项目预算追加57.86万。</w:t>
      </w:r>
    </w:p>
    <w:p>
      <w:pPr>
        <w:widowControl/>
        <w:numPr>
          <w:ilvl w:val="0"/>
          <w:numId w:val="0"/>
        </w:numPr>
        <w:spacing w:line="600" w:lineRule="exact"/>
        <w:ind w:firstLine="960" w:firstLineChars="3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、部门整体支出绩效情况</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按照区本级预算绩效管理工作的总体要求，全部实行整体支出绩效目标管理。</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全年共召开区人民代表大会2次，举行区人大常委会会议7次、主任会议20次，听取和审议“一府两院”和常委会各工作部门的工作报告19项，作出决议决定5项，任免国家机关工作人员338人次，组织常委会组成人员和人大代表开展各类视察、调研和检查活动28次并完成人大换届选举工作。</w:t>
      </w:r>
    </w:p>
    <w:p>
      <w:pPr>
        <w:widowControl/>
        <w:spacing w:line="600" w:lineRule="exact"/>
        <w:ind w:firstLine="645"/>
        <w:jc w:val="left"/>
        <w:rPr>
          <w:rFonts w:ascii="Times New Roman" w:hAnsi="Times New Roman" w:eastAsia="黑体" w:cs="Times New Roman"/>
          <w:sz w:val="32"/>
          <w:szCs w:val="32"/>
        </w:rPr>
      </w:pPr>
      <w:r>
        <w:rPr>
          <w:rFonts w:hint="eastAsia" w:ascii="Times New Roman" w:hAnsi="Times New Roman" w:eastAsia="黑体" w:cs="Times New Roman"/>
          <w:color w:val="000000"/>
          <w:sz w:val="32"/>
          <w:szCs w:val="32"/>
          <w:lang w:eastAsia="zh-CN"/>
        </w:rPr>
        <w:t>四</w:t>
      </w:r>
      <w:r>
        <w:rPr>
          <w:rFonts w:ascii="Times New Roman" w:hAnsi="Times New Roman" w:eastAsia="黑体" w:cs="Times New Roman"/>
          <w:color w:val="000000"/>
          <w:sz w:val="32"/>
          <w:szCs w:val="32"/>
        </w:rPr>
        <w:t>、</w:t>
      </w:r>
      <w:r>
        <w:rPr>
          <w:rFonts w:ascii="Times New Roman" w:hAnsi="Times New Roman" w:eastAsia="黑体" w:cs="Times New Roman"/>
          <w:sz w:val="32"/>
          <w:szCs w:val="32"/>
        </w:rPr>
        <w:t>存在的主要问题及下一步改进措施</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存在的主要问题：因全年工作安排，各项目的经费开支集中在下半年，导致预算执行进度较慢。</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下一步改进措施:一是规范部门预算的编制，加强预算精细化管理。加强预算编制的前瞻性，按照新《预算法》及其实施条例的相关规定，科学、合理地编制本年预算草案，严格按照预算进行开支。二是加强预算执行的监督和管理，规范预算项目执行进度。科学设置预算绩效指标，合理安排经费和各项资金，严格按照预算指标及时支出。</w:t>
      </w:r>
    </w:p>
    <w:p>
      <w:pPr>
        <w:widowControl/>
        <w:numPr>
          <w:ilvl w:val="0"/>
          <w:numId w:val="3"/>
        </w:numPr>
        <w:spacing w:line="600" w:lineRule="exact"/>
        <w:ind w:firstLine="645"/>
        <w:jc w:val="left"/>
        <w:rPr>
          <w:rFonts w:ascii="Times New Roman" w:hAnsi="Times New Roman" w:eastAsia="黑体" w:cs="Times New Roman"/>
          <w:sz w:val="32"/>
          <w:szCs w:val="32"/>
        </w:rPr>
      </w:pPr>
      <w:r>
        <w:rPr>
          <w:rFonts w:ascii="Times New Roman" w:hAnsi="Times New Roman" w:eastAsia="黑体" w:cs="Times New Roman"/>
          <w:sz w:val="32"/>
          <w:szCs w:val="32"/>
        </w:rPr>
        <w:t>绩效自评结果拟应用和公开情况</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按规定公开</w:t>
      </w:r>
    </w:p>
    <w:p>
      <w:pPr>
        <w:widowControl/>
        <w:numPr>
          <w:ilvl w:val="0"/>
          <w:numId w:val="3"/>
        </w:numPr>
        <w:spacing w:line="600" w:lineRule="exact"/>
        <w:ind w:left="0" w:leftChars="0" w:firstLine="645" w:firstLineChars="0"/>
        <w:jc w:val="left"/>
        <w:rPr>
          <w:rFonts w:ascii="Times New Roman" w:hAnsi="Times New Roman" w:eastAsia="黑体" w:cs="Times New Roman"/>
          <w:sz w:val="32"/>
          <w:szCs w:val="32"/>
        </w:rPr>
      </w:pPr>
      <w:r>
        <w:rPr>
          <w:rFonts w:ascii="Times New Roman" w:hAnsi="Times New Roman" w:eastAsia="黑体" w:cs="Times New Roman"/>
          <w:sz w:val="32"/>
          <w:szCs w:val="32"/>
        </w:rPr>
        <w:t>其他需要说明的情况</w:t>
      </w:r>
    </w:p>
    <w:p>
      <w:pPr>
        <w:widowControl/>
        <w:spacing w:line="600" w:lineRule="exact"/>
        <w:ind w:firstLine="645"/>
        <w:jc w:val="left"/>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44F56D"/>
    <w:multiLevelType w:val="singleLevel"/>
    <w:tmpl w:val="F344F56D"/>
    <w:lvl w:ilvl="0" w:tentative="0">
      <w:start w:val="5"/>
      <w:numFmt w:val="chineseCounting"/>
      <w:suff w:val="nothing"/>
      <w:lvlText w:val="%1、"/>
      <w:lvlJc w:val="left"/>
      <w:rPr>
        <w:rFonts w:hint="eastAsia"/>
      </w:rPr>
    </w:lvl>
  </w:abstractNum>
  <w:abstractNum w:abstractNumId="1">
    <w:nsid w:val="318206AD"/>
    <w:multiLevelType w:val="multilevel"/>
    <w:tmpl w:val="318206A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79AC1E24"/>
    <w:multiLevelType w:val="multilevel"/>
    <w:tmpl w:val="79AC1E2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yNzg2ODMzYTBiOTYyZmI3ZWQzMjg2MDBiMDA2MzkifQ=="/>
  </w:docVars>
  <w:rsids>
    <w:rsidRoot w:val="758649A9"/>
    <w:rsid w:val="75864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2022-09-16T03:08:00Z</dcterms:created>
  <dc:creator>刘莉</dc:creator>
  <cp:lastModifiedBy>刘莉</cp:lastModifiedBy>
  <dcterms:modified xsi:type="dcterms:W3CDTF">2022-09-16T03:12:09Z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B7122EB123E74C0292FEA0C38246EF45</vt:lpwstr>
  </property>
</Properties>
</file>