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kern w:val="0"/>
          <w:sz w:val="48"/>
          <w:szCs w:val="48"/>
        </w:rPr>
      </w:pPr>
      <w:r>
        <w:rPr>
          <w:rFonts w:hint="eastAsia" w:ascii="宋体" w:hAnsi="宋体" w:eastAsia="宋体" w:cs="宋体"/>
          <w:b/>
          <w:bCs/>
          <w:sz w:val="44"/>
          <w:szCs w:val="44"/>
        </w:rPr>
        <w:t xml:space="preserve"> </w:t>
      </w:r>
      <w:r>
        <w:rPr>
          <w:rFonts w:hint="eastAsia" w:ascii="仿宋" w:hAnsi="仿宋" w:eastAsia="仿宋" w:cs="仿宋"/>
          <w:b/>
          <w:bCs/>
          <w:kern w:val="0"/>
          <w:sz w:val="48"/>
          <w:szCs w:val="48"/>
        </w:rPr>
        <w:t>2021年长沙市开福区人民代表大会常务委员会办公室本级部门预算</w:t>
      </w:r>
    </w:p>
    <w:p>
      <w:pPr>
        <w:keepNext w:val="0"/>
        <w:keepLines w:val="0"/>
        <w:pageBreakBefore w:val="0"/>
        <w:widowControl/>
        <w:kinsoku/>
        <w:wordWrap/>
        <w:overflowPunct/>
        <w:topLinePunct w:val="0"/>
        <w:autoSpaceDE/>
        <w:autoSpaceDN/>
        <w:bidi w:val="0"/>
        <w:adjustRightInd/>
        <w:snapToGrid/>
        <w:spacing w:line="600" w:lineRule="exact"/>
        <w:textAlignment w:val="auto"/>
        <w:outlineLvl w:val="2"/>
        <w:rPr>
          <w:rFonts w:ascii="仿宋" w:hAnsi="仿宋" w:eastAsia="仿宋" w:cs="仿宋"/>
          <w:b/>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1、负责召集本级人民代表大会会议和常委会会议。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2、讨论和决定本行政区域内的重大事项。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3、确保国家宪法、法律在本行政区域内遵守和执行，负责本区的法律宣传和法律建设。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4、负责依法监督区人民机关、区人民法院、区人民检察院工作，促进“一府两院”改进工作，提高效率。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5、严格按宪法和法律规定程序依法任免“一府两院”和人大常委会机关工作人员，负责对任命干部的述职评议。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6、依法选举和补选长沙市和开福区人民代表大会代表。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7、负责联系区人民代表大会代表，受理人民群众对“一府两院”和国家机关工作人员的申诉和意见，改变或者撤销区人民政府的不适当的决议和决定。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8、负责组织闭会期间的代表活动，定期组织代表视察，指导代表联组活动。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9、负责代表议案、批评、意见和建议的办理。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10、负责完成上级人大常委会交办的各项工作。</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sz w:val="32"/>
          <w:szCs w:val="32"/>
        </w:rPr>
      </w:pPr>
      <w:r>
        <w:rPr>
          <w:rFonts w:hint="eastAsia" w:ascii="仿宋" w:hAnsi="仿宋" w:eastAsia="仿宋" w:cs="仿宋"/>
          <w:b/>
          <w:sz w:val="32"/>
          <w:szCs w:val="32"/>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由1个行政单位及0个二级机构组成。本部门编制数36人，在职人数36人，其中：在岗人数 36人；编外长期聘用人员0人；离退休人数8人，其中离休人员0人，退休人员8人。长沙市开福区人民代表大会设财政经济委员会（区人大常委会预算工作委员会）、监察和司法委员会（区人大法制委员会）、民族华侨外事委员会、教育科学文化卫生委员会、环境与资源保护委员会、农业与农村委员会、社会建设委员会7个委员会。长沙市开福区人民代表大会常务委员会设办公室(区人大常委会信访办公室）、选举任免联络工作委员会2个办事机构、工作机构。长沙市开福区人民代表大会常务委员会办公室下设人大常委会代表服务中心，为长沙市开福区人民代表大会常务委员会办公室管理的公益一类事业单位。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长沙市开福区人民代表大会常务委员会办公室只有本级，没有其他预算单位，因此本部门预算仅含本级预算。 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（一）收入预算：</w:t>
      </w:r>
      <w:r>
        <w:rPr>
          <w:rFonts w:hint="eastAsia" w:ascii="仿宋" w:hAnsi="仿宋" w:eastAsia="仿宋" w:cs="仿宋"/>
          <w:bCs/>
          <w:kern w:val="0"/>
          <w:sz w:val="32"/>
          <w:szCs w:val="32"/>
        </w:rPr>
        <w:t>包括一般公共预算、政府性基金、国有资本经营预算等财政拨款收入，以及经营收入、事业收入等单位资金。2021年本部门收入预算1729.49万元，其中，一般公共预算拨款1729.49万元，政府性基金预算拨款0万元，国有资本经营预算拨款0万元，纳入专户管理的非税收入0万元。收入较去年增加142.31万元，增长8.97%。主要是工资福利支出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（二）支出预算：</w:t>
      </w:r>
      <w:r>
        <w:rPr>
          <w:rFonts w:hint="eastAsia" w:ascii="仿宋" w:hAnsi="仿宋" w:eastAsia="仿宋" w:cs="仿宋"/>
          <w:bCs/>
          <w:kern w:val="0"/>
          <w:sz w:val="32"/>
          <w:szCs w:val="32"/>
        </w:rPr>
        <w:t>2021年本部门支出预算1729.49万元，其中，一般公共服务</w:t>
      </w:r>
      <w:r>
        <w:rPr>
          <w:rFonts w:hint="eastAsia" w:ascii="仿宋" w:hAnsi="仿宋" w:eastAsia="仿宋" w:cs="仿宋"/>
          <w:bCs/>
          <w:kern w:val="0"/>
          <w:sz w:val="32"/>
          <w:szCs w:val="32"/>
          <w:lang w:val="en-US" w:eastAsia="zh-CN"/>
        </w:rPr>
        <w:t>支出</w:t>
      </w:r>
      <w:r>
        <w:rPr>
          <w:rFonts w:hint="eastAsia" w:ascii="仿宋" w:hAnsi="仿宋" w:eastAsia="仿宋" w:cs="仿宋"/>
          <w:bCs/>
          <w:kern w:val="0"/>
          <w:sz w:val="32"/>
          <w:szCs w:val="32"/>
        </w:rPr>
        <w:t>1582.54万元，社会保障和就业</w:t>
      </w:r>
      <w:r>
        <w:rPr>
          <w:rFonts w:hint="eastAsia" w:ascii="仿宋" w:hAnsi="仿宋" w:eastAsia="仿宋" w:cs="仿宋"/>
          <w:bCs/>
          <w:kern w:val="0"/>
          <w:sz w:val="32"/>
          <w:szCs w:val="32"/>
          <w:lang w:val="en-US" w:eastAsia="zh-CN"/>
        </w:rPr>
        <w:t>支出</w:t>
      </w:r>
      <w:r>
        <w:rPr>
          <w:rFonts w:hint="eastAsia" w:ascii="仿宋" w:hAnsi="仿宋" w:eastAsia="仿宋" w:cs="仿宋"/>
          <w:bCs/>
          <w:kern w:val="0"/>
          <w:sz w:val="32"/>
          <w:szCs w:val="32"/>
        </w:rPr>
        <w:t>51.06万元，住房保障</w:t>
      </w:r>
      <w:r>
        <w:rPr>
          <w:rFonts w:hint="eastAsia" w:ascii="仿宋" w:hAnsi="仿宋" w:eastAsia="仿宋" w:cs="仿宋"/>
          <w:bCs/>
          <w:kern w:val="0"/>
          <w:sz w:val="32"/>
          <w:szCs w:val="32"/>
          <w:lang w:val="en-US" w:eastAsia="zh-CN"/>
        </w:rPr>
        <w:t>支出</w:t>
      </w:r>
      <w:r>
        <w:rPr>
          <w:rFonts w:hint="eastAsia" w:ascii="仿宋" w:hAnsi="仿宋" w:eastAsia="仿宋" w:cs="仿宋"/>
          <w:bCs/>
          <w:kern w:val="0"/>
          <w:sz w:val="32"/>
          <w:szCs w:val="32"/>
        </w:rPr>
        <w:t>95.89万元。</w:t>
      </w:r>
      <w:r>
        <w:rPr>
          <w:rFonts w:hint="eastAsia" w:ascii="仿宋" w:hAnsi="仿宋" w:eastAsia="仿宋" w:cs="仿宋"/>
          <w:bCs/>
          <w:color w:val="000000" w:themeColor="text1"/>
          <w:kern w:val="0"/>
          <w:sz w:val="32"/>
          <w:szCs w:val="32"/>
          <w:highlight w:val="none"/>
          <w14:textFill>
            <w14:solidFill>
              <w14:schemeClr w14:val="tx1"/>
            </w14:solidFill>
          </w14:textFill>
        </w:rPr>
        <w:t>本年支出预算数比上年增加142.31万元，增长8.97%。</w:t>
      </w:r>
      <w:r>
        <w:rPr>
          <w:rFonts w:hint="eastAsia" w:ascii="仿宋" w:hAnsi="仿宋" w:eastAsia="仿宋" w:cs="仿宋"/>
          <w:bCs/>
          <w:kern w:val="0"/>
          <w:sz w:val="32"/>
          <w:szCs w:val="32"/>
        </w:rPr>
        <w:t>支出增加的主要原因是：主要是工资福利支出经费增加。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四、一般公共预算拨款支出</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2021年本部门一般公共预算拨款支出预算1729.49万元，其中，一般公共服务支出1582.54万元，占91.61%；社会保障和就业51.06万元，占2.96%，住房保障95.89万元，占5.43%。具体安排情况如下：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（一）基本支出：</w:t>
      </w:r>
      <w:r>
        <w:rPr>
          <w:rFonts w:hint="eastAsia" w:ascii="仿宋" w:hAnsi="仿宋" w:eastAsia="仿宋" w:cs="仿宋"/>
          <w:bCs/>
          <w:kern w:val="0"/>
          <w:sz w:val="32"/>
          <w:szCs w:val="32"/>
        </w:rPr>
        <w:t>2021年本部门基本支出预算数1356.81万元，主要是为保障部门正常运转、完成日常工作任务而发生的各项支出，包括用于基本工资、津贴补贴等人员经费以及办公费、印刷费、水电费、办公设备购置等公用经费。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（二）项目支出：</w:t>
      </w:r>
      <w:r>
        <w:rPr>
          <w:rFonts w:hint="eastAsia" w:ascii="仿宋" w:hAnsi="仿宋" w:eastAsia="仿宋" w:cs="仿宋"/>
          <w:bCs/>
          <w:kern w:val="0"/>
          <w:sz w:val="32"/>
          <w:szCs w:val="32"/>
        </w:rPr>
        <w:t>2021年本部门项目支出预算372.68万元，主要是部门为完成特定行政工作任务或事业发展目标而发生的支出，包括有关事业发展专项、专项业务费、基本建设支出等，其中：人大代表培训经费50万元，主要用于组织人大代表的履职培训和相关法律法规的学习；人大常委会会议经费12.13万元，主要用于人大常委会会议和人大常委会主任会议的各项费用支出；工委专项工作经费110万元，主要用于农产品质量安全行、环保世纪行、三湘农民健康行、民族团结进步行、司法公正长沙行等方面；人大代表活动经费60万元，主要用于省市区三级代表的学习、活动及各代表团的代表活动室建设。代表活动经费（下拨）130.55万元，主要用于下拨到各代表联组发放代表补贴；预算联网监督经费10万元，主要用于预算联网系统维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（一）机关运行经费：</w:t>
      </w:r>
      <w:r>
        <w:rPr>
          <w:rFonts w:hint="eastAsia" w:ascii="仿宋" w:hAnsi="仿宋" w:eastAsia="仿宋" w:cs="仿宋"/>
          <w:bCs/>
          <w:kern w:val="0"/>
          <w:sz w:val="32"/>
          <w:szCs w:val="32"/>
        </w:rPr>
        <w:t>2021年本部门机关本级机关运行经费财政拨款预算160.16万元，比2020年预算增加12.67万元，增长8.59%。主要原因是提高人员工资，追加了人员运行费等。</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（二）“三公”经费预算：</w:t>
      </w:r>
      <w:r>
        <w:rPr>
          <w:rFonts w:hint="eastAsia" w:ascii="仿宋" w:hAnsi="仿宋" w:eastAsia="仿宋" w:cs="仿宋"/>
          <w:bCs/>
          <w:kern w:val="0"/>
          <w:sz w:val="32"/>
          <w:szCs w:val="32"/>
        </w:rPr>
        <w:t>2021年本部门机关本级“三公”经费预算数为0.5万元，其中，公务接待费0.5万元，公务用车购置及运行费0万元（其中，公务用车购置费0万元，公务用车运行费0万元），因公出国（境）费0万元。2021年“三公”经费预算较2020年增加0.5万元，主要是用于与外省市区人大进行工作交流。</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（三）一般性支出情况：</w:t>
      </w:r>
      <w:r>
        <w:rPr>
          <w:rFonts w:hint="eastAsia" w:ascii="仿宋" w:hAnsi="仿宋" w:eastAsia="仿宋" w:cs="仿宋"/>
          <w:bCs/>
          <w:kern w:val="0"/>
          <w:sz w:val="32"/>
          <w:szCs w:val="32"/>
        </w:rPr>
        <w:t>2021年本部门会议费预算12.13万元，拟召开三类会议，人数2500人，内容为：区人大常委会7次、区人大常委会主任会议25次、组织常委会组成人员和人大代表开展视察、调研23次；培训费预算50万元，拟开展人大履职培训，人数270人，内容为加强区人大常委会和人大代表、人大系统干部的履职能力水平进行培训；未举办节庆、晚会、论坛、赛事活动，经费预算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（四）政府采购情况：</w:t>
      </w:r>
      <w:r>
        <w:rPr>
          <w:rFonts w:hint="eastAsia" w:ascii="仿宋" w:hAnsi="仿宋" w:eastAsia="仿宋" w:cs="仿宋"/>
          <w:bCs/>
          <w:kern w:val="0"/>
          <w:sz w:val="32"/>
          <w:szCs w:val="32"/>
        </w:rPr>
        <w:t>2021年本部门政府采购预算总额 13万元，其中，货物类采购预算13万元；工程类采购预算0万元；服务类采购预算0万元。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（五）国有资产占用使用及新增资产配置情况：</w:t>
      </w:r>
      <w:r>
        <w:rPr>
          <w:rFonts w:hint="eastAsia" w:ascii="仿宋" w:hAnsi="仿宋" w:eastAsia="仿宋" w:cs="仿宋"/>
          <w:bCs/>
          <w:kern w:val="0"/>
          <w:sz w:val="32"/>
          <w:szCs w:val="32"/>
        </w:rPr>
        <w:t>截至2020年12月底，本部门共有公务用车</w:t>
      </w:r>
      <w:r>
        <w:rPr>
          <w:rFonts w:hint="eastAsia" w:ascii="仿宋" w:hAnsi="仿宋" w:eastAsia="仿宋" w:cs="仿宋"/>
          <w:bCs/>
          <w:kern w:val="0"/>
          <w:sz w:val="32"/>
          <w:szCs w:val="32"/>
          <w:highlight w:val="none"/>
        </w:rPr>
        <w:t>5辆，其中，机要通信用车0辆，应急保障用车0辆，执法执勤用车0辆，特种专业技术用车0辆，其他按照规定配备的公务用车</w:t>
      </w:r>
      <w:r>
        <w:rPr>
          <w:rFonts w:hint="eastAsia" w:ascii="仿宋" w:hAnsi="仿宋" w:eastAsia="仿宋" w:cs="仿宋"/>
          <w:bCs/>
          <w:kern w:val="0"/>
          <w:sz w:val="32"/>
          <w:szCs w:val="32"/>
          <w:highlight w:val="none"/>
          <w:lang w:val="en-US" w:eastAsia="zh-CN"/>
        </w:rPr>
        <w:t>5</w:t>
      </w:r>
      <w:r>
        <w:rPr>
          <w:rFonts w:hint="eastAsia" w:ascii="仿宋" w:hAnsi="仿宋" w:eastAsia="仿宋" w:cs="仿宋"/>
          <w:bCs/>
          <w:kern w:val="0"/>
          <w:sz w:val="32"/>
          <w:szCs w:val="32"/>
          <w:highlight w:val="none"/>
        </w:rPr>
        <w:t>辆</w:t>
      </w:r>
      <w:r>
        <w:rPr>
          <w:rFonts w:hint="eastAsia" w:ascii="仿宋" w:hAnsi="仿宋" w:eastAsia="仿宋" w:cs="仿宋"/>
          <w:bCs/>
          <w:kern w:val="0"/>
          <w:sz w:val="32"/>
          <w:szCs w:val="32"/>
        </w:rPr>
        <w:t>；单位价值50万元以上通用设备0台，单位价值100万元以上专用设备0 台。2020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kern w:val="0"/>
          <w:sz w:val="32"/>
          <w:szCs w:val="32"/>
        </w:rPr>
        <w:t>（六）预算绩效目标说明：</w:t>
      </w:r>
      <w:r>
        <w:rPr>
          <w:rFonts w:hint="eastAsia" w:ascii="仿宋" w:hAnsi="仿宋" w:eastAsia="仿宋" w:cs="仿宋"/>
          <w:bCs/>
          <w:kern w:val="0"/>
          <w:sz w:val="32"/>
          <w:szCs w:val="32"/>
        </w:rPr>
        <w:t>本部门所有支出实行绩效目标管理。纳入2021年部门整体支出绩效目标的金额为1729.49万元，其中，基本支出1356.81万元，项目支出372.68万元，具体绩效目标详见报表。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å¾®è½¯é›…é»‘" w:hAnsi="宋体" w:eastAsia="å¾®è½¯é›…é»‘" w:cs="宋体"/>
          <w:color w:val="666666"/>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å¾®è½¯é›…é»‘">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DFC8E"/>
    <w:multiLevelType w:val="singleLevel"/>
    <w:tmpl w:val="CA1DFC8E"/>
    <w:lvl w:ilvl="0" w:tentative="0">
      <w:start w:val="1"/>
      <w:numFmt w:val="chineseCounting"/>
      <w:suff w:val="space"/>
      <w:lvlText w:val="第%1部分"/>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Nzg2ODMzYTBiOTYyZmI3ZWQzMjg2MDBiMDA2MzkifQ=="/>
  </w:docVars>
  <w:rsids>
    <w:rsidRoot w:val="00FA5673"/>
    <w:rsid w:val="00205229"/>
    <w:rsid w:val="00564FA1"/>
    <w:rsid w:val="005B7376"/>
    <w:rsid w:val="00960679"/>
    <w:rsid w:val="00C02CD4"/>
    <w:rsid w:val="00FA5673"/>
    <w:rsid w:val="1D053E5D"/>
    <w:rsid w:val="308D2AE4"/>
    <w:rsid w:val="3B67764E"/>
    <w:rsid w:val="3CB14D55"/>
    <w:rsid w:val="3E8D710D"/>
    <w:rsid w:val="53AD50AC"/>
    <w:rsid w:val="55D419F6"/>
    <w:rsid w:val="5A47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qFormat/>
    <w:uiPriority w:val="9"/>
    <w:rPr>
      <w:rFonts w:ascii="宋体" w:hAnsi="宋体" w:eastAsia="宋体" w:cs="宋体"/>
      <w:b/>
      <w:bCs/>
      <w:kern w:val="0"/>
      <w:sz w:val="27"/>
      <w:szCs w:val="27"/>
    </w:rPr>
  </w:style>
  <w:style w:type="character" w:customStyle="1" w:styleId="10">
    <w:name w:val="kf_sj"/>
    <w:basedOn w:val="7"/>
    <w:qFormat/>
    <w:uiPriority w:val="0"/>
  </w:style>
  <w:style w:type="character" w:customStyle="1" w:styleId="11">
    <w:name w:val="kf_ly"/>
    <w:basedOn w:val="7"/>
    <w:qFormat/>
    <w:uiPriority w:val="0"/>
  </w:style>
  <w:style w:type="character" w:customStyle="1" w:styleId="12">
    <w:name w:val="页眉 Char"/>
    <w:basedOn w:val="7"/>
    <w:link w:val="4"/>
    <w:qFormat/>
    <w:uiPriority w:val="99"/>
    <w:rPr>
      <w:kern w:val="2"/>
      <w:sz w:val="18"/>
      <w:szCs w:val="18"/>
    </w:rPr>
  </w:style>
  <w:style w:type="character" w:customStyle="1" w:styleId="13">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3024</Words>
  <Characters>3258</Characters>
  <Lines>23</Lines>
  <Paragraphs>6</Paragraphs>
  <TotalTime>13</TotalTime>
  <ScaleCrop>false</ScaleCrop>
  <LinksUpToDate>false</LinksUpToDate>
  <CharactersWithSpaces>3262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2022-06-28T14:22:00Z</dcterms:created>
  <dc:creator>Administrator</dc:creator>
  <cp:lastModifiedBy>刘莉</cp:lastModifiedBy>
  <dcterms:modified xsi:type="dcterms:W3CDTF">2022-08-19T02:30:39Z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A85F6BB752A743D48063330C4E442063</vt:lpwstr>
  </property>
</Properties>
</file>