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eastAsia" w:eastAsia="方正小标宋_GBK"/>
          <w:sz w:val="36"/>
          <w:szCs w:val="36"/>
          <w:lang w:eastAsia="zh-CN"/>
        </w:rPr>
      </w:pPr>
      <w:bookmarkStart w:id="0" w:name="_GoBack"/>
      <w:r>
        <w:rPr>
          <w:rFonts w:hint="eastAsia" w:eastAsia="方正小标宋_GBK"/>
          <w:sz w:val="36"/>
          <w:szCs w:val="36"/>
          <w:lang w:val="en-US" w:eastAsia="zh-CN"/>
        </w:rPr>
        <w:t>长沙市开福区人大常委会办公室2019年度部门整体支出绩效评价</w:t>
      </w:r>
      <w:r>
        <w:rPr>
          <w:rFonts w:hint="eastAsia" w:eastAsia="方正小标宋_GBK"/>
          <w:sz w:val="36"/>
          <w:szCs w:val="36"/>
          <w:lang w:eastAsia="zh-CN"/>
        </w:rPr>
        <w:t>报告</w:t>
      </w:r>
    </w:p>
    <w:bookmarkEnd w:id="0"/>
    <w:p>
      <w:pPr>
        <w:rPr>
          <w:rFonts w:ascii="华文中宋" w:hAnsi="华文中宋" w:eastAsia="华文中宋"/>
          <w:szCs w:val="21"/>
        </w:rPr>
      </w:pPr>
    </w:p>
    <w:p>
      <w:pPr>
        <w:numPr>
          <w:ilvl w:val="0"/>
          <w:numId w:val="1"/>
        </w:numPr>
        <w:ind w:firstLine="566" w:firstLineChars="177"/>
        <w:rPr>
          <w:rFonts w:hint="eastAsia" w:ascii="仿宋_GB2312" w:hAnsi="华文中宋"/>
          <w:sz w:val="32"/>
          <w:szCs w:val="32"/>
          <w:lang w:eastAsia="zh-CN"/>
        </w:rPr>
      </w:pPr>
      <w:r>
        <w:rPr>
          <w:rFonts w:hint="eastAsia" w:ascii="仿宋_GB2312" w:hAnsi="华文中宋"/>
          <w:sz w:val="32"/>
          <w:szCs w:val="32"/>
          <w:lang w:eastAsia="zh-CN"/>
        </w:rPr>
        <w:t>部门</w:t>
      </w:r>
      <w:r>
        <w:rPr>
          <w:rFonts w:hint="eastAsia" w:ascii="仿宋_GB2312" w:hAnsi="华文中宋"/>
          <w:sz w:val="32"/>
          <w:szCs w:val="32"/>
          <w:lang w:val="en-US" w:eastAsia="zh-CN"/>
        </w:rPr>
        <w:t>基本情况及</w:t>
      </w:r>
      <w:r>
        <w:rPr>
          <w:rFonts w:hint="eastAsia" w:ascii="仿宋_GB2312" w:hAnsi="华文中宋"/>
          <w:sz w:val="32"/>
          <w:szCs w:val="32"/>
          <w:lang w:eastAsia="zh-CN"/>
        </w:rPr>
        <w:t>整体支出概况</w:t>
      </w:r>
    </w:p>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600" w:lineRule="exact"/>
        <w:ind w:left="0" w:firstLine="42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仿宋_GB2312" w:hAnsi="华文中宋"/>
          <w:sz w:val="32"/>
          <w:szCs w:val="32"/>
          <w:lang w:val="en-US" w:eastAsia="zh-CN"/>
        </w:rPr>
        <w:t xml:space="preserve">    </w:t>
      </w:r>
      <w:r>
        <w:rPr>
          <w:rFonts w:hint="eastAsia" w:ascii="Times New Roman" w:hAnsi="Times New Roman" w:eastAsia="仿宋_GB2312" w:cs="Times New Roman"/>
          <w:color w:val="000000"/>
          <w:kern w:val="0"/>
          <w:sz w:val="32"/>
          <w:szCs w:val="32"/>
          <w:highlight w:val="none"/>
          <w:lang w:val="en-US" w:eastAsia="zh-CN" w:bidi="ar-SA"/>
        </w:rPr>
        <w:t>本部门由  1 个行政单位及 0  个二级机构组成。本部门编制数  36  人，在职人数 36 人，其中：在岗人数 36 人；编外长期聘用人员 0 人；离退休人数 6人，其中离休人员 0 人，退休人员 6人。长沙市开福区人大常委会是长沙市开福区人民代表大会的常设机关，对长沙市开福区人民代表大会负责并报告工作。长沙市开福区人民代表大会设专门委员会7个：民族华侨外事委员会、监察和司法委员会与法制委员会合署办公、财政经济委员会与预算工作委员会合署办公、教育科学文化卫生委员会、环境与资源保护委员会、农业与农村委员会、社会建设委员会。长沙市开福区人大常委会设办事机构、工作机构2个：区人大常委会办公室（加挂区人大常委会信访办公室牌子）、区人大常委会选举任免联络工作委员会。长沙市开福区人大常委会办公室下设长沙市开福区人大代表服务中心。</w:t>
      </w:r>
    </w:p>
    <w:p>
      <w:pPr>
        <w:numPr>
          <w:numId w:val="0"/>
        </w:numPr>
        <w:rPr>
          <w:rFonts w:hint="default" w:ascii="仿宋_GB2312" w:hAnsi="华文中宋"/>
          <w:sz w:val="32"/>
          <w:szCs w:val="32"/>
          <w:lang w:val="en-US" w:eastAsia="zh-CN"/>
        </w:rPr>
      </w:pPr>
    </w:p>
    <w:p>
      <w:pPr>
        <w:ind w:firstLine="640"/>
      </w:pPr>
      <w:r>
        <w:rPr>
          <w:rFonts w:hint="eastAsia"/>
        </w:rPr>
        <w:t>按照市本级绩效管理工作的总体要求,2019年度开福区</w:t>
      </w:r>
      <w:r>
        <w:rPr>
          <w:rFonts w:hint="eastAsia"/>
          <w:lang w:eastAsia="zh-CN"/>
        </w:rPr>
        <w:t>人大常委会办公室</w:t>
      </w:r>
      <w:r>
        <w:rPr>
          <w:rFonts w:hint="eastAsia"/>
        </w:rPr>
        <w:t>整体预算支出</w:t>
      </w:r>
      <w:r>
        <w:rPr>
          <w:rFonts w:hint="eastAsia"/>
          <w:lang w:val="en-US" w:eastAsia="zh-CN"/>
        </w:rPr>
        <w:t>1304.66</w:t>
      </w:r>
      <w:r>
        <w:rPr>
          <w:rFonts w:hint="eastAsia"/>
        </w:rPr>
        <w:t>万元,全部实行整体支出绩效目标管理,编报绩效目标的项目</w:t>
      </w:r>
      <w:r>
        <w:rPr>
          <w:rFonts w:hint="eastAsia"/>
          <w:lang w:val="en-US" w:eastAsia="zh-CN"/>
        </w:rPr>
        <w:t>4</w:t>
      </w:r>
      <w:r>
        <w:rPr>
          <w:rFonts w:hint="eastAsia"/>
        </w:rPr>
        <w:t>个,涉及项目支出</w:t>
      </w:r>
      <w:r>
        <w:rPr>
          <w:rFonts w:hint="eastAsia"/>
          <w:lang w:val="en-US" w:eastAsia="zh-CN"/>
        </w:rPr>
        <w:t>265</w:t>
      </w:r>
      <w:r>
        <w:rPr>
          <w:rFonts w:hint="eastAsia"/>
        </w:rPr>
        <w:t>万元，具体如下：</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1、人大常委会议经费是为了做好区人民代表大会、区人大常委会议、主任会议及常委会党组会议的会务工作。进一步完善区人大会议的组织和筹备工作，使会议高效、节俭，按照既定程序有序进行。</w:t>
      </w:r>
    </w:p>
    <w:p>
      <w:pPr>
        <w:rPr>
          <w:rFonts w:hint="eastAsia" w:ascii="Times New Roman" w:hAnsi="Times New Roman" w:cs="Times New Roman"/>
          <w:lang w:val="en-US" w:eastAsia="zh-CN"/>
        </w:rPr>
      </w:pPr>
      <w:r>
        <w:rPr>
          <w:rFonts w:hint="eastAsia" w:ascii="Times New Roman" w:hAnsi="Times New Roman" w:cs="Times New Roman"/>
          <w:lang w:val="en-US" w:eastAsia="zh-CN"/>
        </w:rPr>
        <w:t>2、工委工作专项经费为进一步加强监督工作。进行执法调研和执法检查，扎实开展民族团结进步（长沙）行、长沙环保世纪行、三湘农民健康（长沙）行、农产品质量安全（长沙）行、司法公正长沙行等系列活动；围绕政府工作报告和“一府一会两院”专项工作报告涉及内容进行调查研究，组织开展专题询问和工作评议。加强对改革发展重点领域的监督，抓好重大民生问题的监督，完善预决算审查监督，扎实开展司法、普法工作监督。做好人大信访工作。</w:t>
      </w:r>
    </w:p>
    <w:p>
      <w:pPr>
        <w:rPr>
          <w:rFonts w:hint="eastAsia" w:ascii="Times New Roman" w:hAnsi="Times New Roman" w:cs="Times New Roman"/>
          <w:lang w:val="en-US" w:eastAsia="zh-CN"/>
        </w:rPr>
      </w:pPr>
      <w:r>
        <w:rPr>
          <w:rFonts w:hint="eastAsia" w:ascii="Times New Roman" w:hAnsi="Times New Roman" w:cs="Times New Roman"/>
          <w:lang w:val="en-US" w:eastAsia="zh-CN"/>
        </w:rPr>
        <w:t>3、代表活动经费是为了进一步加强代表工作。抓好代表议案审议和建议督办工作，优化代表履职服务保障，推进人大代表联系群众平台建设。</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4、人大代表培训经费是为了组织人大代表的履职培训和相关法律法规的学习，提高人大代表综合素质。</w:t>
      </w:r>
    </w:p>
    <w:p>
      <w:pPr>
        <w:numPr>
          <w:ilvl w:val="0"/>
          <w:numId w:val="1"/>
        </w:numPr>
        <w:ind w:firstLine="566" w:firstLineChars="177"/>
        <w:rPr>
          <w:rFonts w:hint="eastAsia" w:ascii="仿宋_GB2312" w:hAnsi="华文中宋"/>
          <w:sz w:val="32"/>
          <w:szCs w:val="32"/>
          <w:lang w:eastAsia="zh-CN"/>
        </w:rPr>
      </w:pPr>
      <w:r>
        <w:rPr>
          <w:rFonts w:hint="eastAsia" w:ascii="仿宋_GB2312" w:hAnsi="华文中宋"/>
          <w:sz w:val="32"/>
          <w:szCs w:val="32"/>
          <w:lang w:eastAsia="zh-CN"/>
        </w:rPr>
        <w:t>项目资金使用及管理情况</w:t>
      </w:r>
    </w:p>
    <w:p>
      <w:pPr>
        <w:numPr>
          <w:ilvl w:val="0"/>
          <w:numId w:val="0"/>
        </w:numPr>
        <w:rPr>
          <w:rFonts w:hint="default" w:ascii="仿宋_GB2312" w:hAnsi="华文中宋"/>
          <w:sz w:val="32"/>
          <w:szCs w:val="32"/>
          <w:lang w:val="en-US" w:eastAsia="zh-CN"/>
        </w:rPr>
      </w:pPr>
      <w:r>
        <w:rPr>
          <w:rFonts w:hint="eastAsia" w:ascii="仿宋_GB2312" w:hAnsi="华文中宋"/>
          <w:sz w:val="32"/>
          <w:szCs w:val="32"/>
          <w:lang w:val="en-US" w:eastAsia="zh-CN"/>
        </w:rPr>
        <w:t xml:space="preserve">    人大常委会议经费35万，支出16.93万；工委工作专项经费110万，支出110万；人大代表培训经费50万，支出44.13万；人大代表活动经费70万，支出69.84万。</w:t>
      </w:r>
    </w:p>
    <w:p>
      <w:pPr>
        <w:numPr>
          <w:ilvl w:val="0"/>
          <w:numId w:val="1"/>
        </w:numPr>
        <w:ind w:firstLine="566" w:firstLineChars="177"/>
        <w:rPr>
          <w:rFonts w:hint="eastAsia" w:ascii="仿宋_GB2312" w:hAnsi="华文中宋"/>
          <w:sz w:val="32"/>
          <w:szCs w:val="32"/>
          <w:lang w:eastAsia="zh-CN"/>
        </w:rPr>
      </w:pPr>
      <w:r>
        <w:rPr>
          <w:rFonts w:hint="eastAsia" w:ascii="仿宋_GB2312" w:hAnsi="华文中宋"/>
          <w:sz w:val="32"/>
          <w:szCs w:val="32"/>
          <w:lang w:eastAsia="zh-CN"/>
        </w:rPr>
        <w:t>项目组织实施情况</w:t>
      </w:r>
    </w:p>
    <w:p>
      <w:pPr>
        <w:ind w:firstLine="640"/>
      </w:pPr>
      <w:r>
        <w:rPr>
          <w:rFonts w:hint="eastAsia" w:ascii="仿宋_GB2312" w:hAnsi="华文中宋"/>
          <w:sz w:val="32"/>
          <w:szCs w:val="32"/>
          <w:lang w:val="en-US" w:eastAsia="zh-CN"/>
        </w:rPr>
        <w:t xml:space="preserve">    </w:t>
      </w:r>
      <w:r>
        <w:rPr>
          <w:rFonts w:hint="eastAsia"/>
        </w:rPr>
        <w:t>2019年是新中国成立70周年，是全面建成小康社会、实现第一个百年奋斗目标的关键之年。面临新时代新要求，区</w:t>
      </w:r>
      <w:r>
        <w:rPr>
          <w:rFonts w:hint="eastAsia"/>
          <w:lang w:eastAsia="zh-CN"/>
        </w:rPr>
        <w:t>人大常委会</w:t>
      </w:r>
      <w:r>
        <w:rPr>
          <w:rFonts w:hint="eastAsia"/>
        </w:rPr>
        <w:t>办公室坚持在习近平新时代中国特色社会主义思想和党的十九大精神指引下，牢牢把握“四最一中枢”政治机关定位，深入践行“五个坚持”，自觉做到“四个过得硬”，全面贯彻“六更”“三精”标准，加强理论武装，聚焦主责主业，发扬严实作风，力争在“三服务”工作上展现新担当新作为，努力建设让党放心、让人民满意的模范机关，确保为升级发展、成就北富，加快建设强盛、精美、幸福、厚德的现代化新开福提供坚强的服务保障，整体上较好完成预期绩效目标。</w:t>
      </w:r>
    </w:p>
    <w:p>
      <w:pPr>
        <w:numPr>
          <w:ilvl w:val="0"/>
          <w:numId w:val="1"/>
        </w:numPr>
        <w:ind w:firstLine="566" w:firstLineChars="177"/>
        <w:rPr>
          <w:rFonts w:hint="eastAsia" w:ascii="仿宋_GB2312" w:hAnsi="华文中宋"/>
          <w:sz w:val="32"/>
          <w:szCs w:val="32"/>
          <w:lang w:eastAsia="zh-CN"/>
        </w:rPr>
      </w:pPr>
      <w:r>
        <w:rPr>
          <w:rFonts w:hint="eastAsia" w:ascii="仿宋_GB2312" w:hAnsi="华文中宋"/>
          <w:sz w:val="32"/>
          <w:szCs w:val="32"/>
          <w:lang w:eastAsia="zh-CN"/>
        </w:rPr>
        <w:t>部门绩效情况</w:t>
      </w:r>
    </w:p>
    <w:p>
      <w:pPr>
        <w:ind w:firstLine="640"/>
        <w:rPr>
          <w:rFonts w:hint="eastAsia" w:ascii="Times New Roman" w:hAnsi="Times New Roman" w:cs="Times New Roman"/>
          <w:lang w:val="en-US" w:eastAsia="zh-CN"/>
        </w:rPr>
      </w:pPr>
      <w:r>
        <w:rPr>
          <w:rFonts w:hint="eastAsia" w:ascii="仿宋_GB2312" w:hAnsi="华文中宋"/>
          <w:sz w:val="32"/>
          <w:szCs w:val="32"/>
          <w:lang w:val="en-US" w:eastAsia="zh-CN"/>
        </w:rPr>
        <w:t xml:space="preserve">    </w:t>
      </w:r>
      <w:r>
        <w:rPr>
          <w:rFonts w:hint="eastAsia" w:ascii="Times New Roman" w:hAnsi="Times New Roman" w:cs="Times New Roman"/>
          <w:lang w:val="en-US" w:eastAsia="zh-CN"/>
        </w:rPr>
        <w:t>按照区本级预算绩效管理工作的总体要求，全部实行整体支出绩效目标管理。</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1.紧紧围绕区委全面深化改革的重大决策部署，加强和改进监督工作；</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2.依法讨论决定重大事项，认真做好人事任免工作；</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3.加强和改进代表工作，充分发挥代表作用；</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4.加强群众来信来访工作；</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5.加强常委会及其机关建设。</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本部门整体支出产出指标：</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1.加强监督工作，围绕区委部署，推动解决热点难点问题，抓好重大民生问题的监督；加强财政预决算审查监督，提高财政资金使用效益，加强跟踪监督，督促审计工作报告问题的整改，加强经济工作监督；认真开展司法、普法工作监督。</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2.做好代表工作，认真督办代表建议，为代表履职提供服务和保障。</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3.严格规范工作程序，做好人事任免工作。</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4.机关建设全面加强，服务保障能力不断提升。</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5.厉行节约，降低行政运行成本，提高资金的使用效率。</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本部门整体支出效益指标：</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经济效益：坚持以经济建设为中心，认真审查国民经济社会发展年度计划草案，听取审议计划执行情况报告；完成区级预决算和区级预算调整方案的审查监督；审议年度审计工作报告，要求区人民政府加大问题的整改力度，并加强跟踪监督，审议国民经济和社会发展计划执行情况的报告，加强对经济运行情况的监督。</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社会效益：开展专项执法检查和专题询问，推动保障和民生改善。</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行政效益：促进部门改进文风会风，加强经费及资产管理。加强机关信息化建设，提高行政效率，降低行政成本。</w:t>
      </w:r>
    </w:p>
    <w:p>
      <w:pPr>
        <w:ind w:firstLine="640"/>
        <w:rPr>
          <w:rFonts w:hint="eastAsia" w:ascii="Times New Roman" w:hAnsi="Times New Roman" w:cs="Times New Roman"/>
          <w:lang w:eastAsia="zh-CN"/>
        </w:rPr>
      </w:pPr>
      <w:r>
        <w:rPr>
          <w:rFonts w:hint="eastAsia" w:ascii="Times New Roman" w:hAnsi="Times New Roman" w:cs="Times New Roman"/>
          <w:lang w:eastAsia="zh-CN"/>
        </w:rPr>
        <w:t>五、需要说明的问题</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 xml:space="preserve">    存在的主要问题：因全年工作安排，各项目的经费开支集中在下半年，导致预算执行进度较慢。</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下一步改进措施:一是规范部门预算的编制，加强预算精细化管理。加强预算编制的前瞻性，按照新《预算法》及其实施条例的相关规定，科学、合理地编制本年预算草案，严格按照预算进行开支。二是加强预算执行的监督和管理，规范预算项目执行进度。科学设置预算绩效指标，合理安排经费和各项资金，严格按照预算指标及时支出。</w:t>
      </w:r>
    </w:p>
    <w:p>
      <w:pPr>
        <w:numPr>
          <w:ilvl w:val="0"/>
          <w:numId w:val="0"/>
        </w:numPr>
        <w:rPr>
          <w:rFonts w:hint="default" w:ascii="仿宋_GB2312" w:hAnsi="华文中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5ED07"/>
    <w:multiLevelType w:val="singleLevel"/>
    <w:tmpl w:val="EF65ED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1E1A592B"/>
    <w:rsid w:val="222E621F"/>
    <w:rsid w:val="22A76ED0"/>
    <w:rsid w:val="27F84239"/>
    <w:rsid w:val="2A97068C"/>
    <w:rsid w:val="69CA485F"/>
    <w:rsid w:val="769F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Administrator</cp:lastModifiedBy>
  <dcterms:modified xsi:type="dcterms:W3CDTF">2021-05-26T03:29:28Z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93DCC31F7F964AAEB4D19C9C2E3F58F3</vt:lpwstr>
  </property>
</Properties>
</file>