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center"/>
        <w:rPr>
          <w:rFonts w:hint="eastAsia" w:ascii="方正小标宋简体" w:hAnsi="方正小标宋简体" w:eastAsia="方正小标宋简体" w:cs="方正小标宋简体"/>
          <w:sz w:val="44"/>
          <w:szCs w:val="24"/>
          <w:lang w:val="en-US" w:eastAsia="zh-CN"/>
        </w:rPr>
      </w:pPr>
    </w:p>
    <w:p>
      <w:pPr>
        <w:spacing w:line="540" w:lineRule="exact"/>
        <w:ind w:firstLine="0" w:firstLineChars="0"/>
        <w:jc w:val="center"/>
        <w:rPr>
          <w:rFonts w:hint="eastAsia" w:ascii="方正小标宋简体" w:hAnsi="方正小标宋简体" w:eastAsia="方正小标宋简体" w:cs="方正小标宋简体"/>
          <w:sz w:val="44"/>
          <w:szCs w:val="24"/>
          <w:lang w:eastAsia="zh-CN"/>
        </w:rPr>
      </w:pPr>
      <w:r>
        <w:rPr>
          <w:rFonts w:hint="eastAsia" w:ascii="方正小标宋简体" w:hAnsi="方正小标宋简体" w:eastAsia="方正小标宋简体" w:cs="方正小标宋简体"/>
          <w:sz w:val="44"/>
          <w:szCs w:val="24"/>
          <w:lang w:val="en-US" w:eastAsia="zh-CN"/>
        </w:rPr>
        <w:t>长沙市开福区委员会老干部局</w:t>
      </w:r>
      <w:r>
        <w:rPr>
          <w:rFonts w:hint="eastAsia" w:ascii="方正小标宋简体" w:hAnsi="方正小标宋简体" w:eastAsia="方正小标宋简体" w:cs="方正小标宋简体"/>
          <w:sz w:val="44"/>
          <w:szCs w:val="24"/>
        </w:rPr>
        <w:t>2018年度</w:t>
      </w:r>
      <w:r>
        <w:rPr>
          <w:rFonts w:hint="eastAsia" w:ascii="方正小标宋简体" w:hAnsi="方正小标宋简体" w:eastAsia="方正小标宋简体" w:cs="方正小标宋简体"/>
          <w:sz w:val="44"/>
          <w:szCs w:val="24"/>
          <w:lang w:eastAsia="zh-CN"/>
        </w:rPr>
        <w:t>部门整体支出绩效评价报告</w:t>
      </w:r>
    </w:p>
    <w:p>
      <w:pPr>
        <w:rPr>
          <w:rFonts w:ascii="华文中宋" w:hAnsi="华文中宋" w:eastAsia="华文中宋"/>
          <w:szCs w:val="21"/>
        </w:rPr>
      </w:pPr>
    </w:p>
    <w:p>
      <w:pPr>
        <w:numPr>
          <w:ilvl w:val="0"/>
          <w:numId w:val="1"/>
        </w:numPr>
        <w:ind w:firstLine="560" w:firstLineChars="200"/>
        <w:rPr>
          <w:rFonts w:hint="eastAsia" w:eastAsia="仿宋_GB2312"/>
          <w:b w:val="0"/>
          <w:bCs w:val="0"/>
          <w:sz w:val="28"/>
          <w:szCs w:val="28"/>
          <w:lang w:eastAsia="zh-CN"/>
        </w:rPr>
      </w:pPr>
      <w:r>
        <w:rPr>
          <w:rFonts w:hint="eastAsia" w:eastAsia="仿宋_GB2312"/>
          <w:b w:val="0"/>
          <w:bCs w:val="0"/>
          <w:sz w:val="28"/>
          <w:szCs w:val="28"/>
          <w:lang w:eastAsia="zh-CN"/>
        </w:rPr>
        <w:t>部门整体支出概况</w:t>
      </w:r>
      <w:bookmarkStart w:id="0" w:name="_GoBack"/>
      <w:bookmarkEnd w:id="0"/>
    </w:p>
    <w:p>
      <w:pPr>
        <w:keepNext w:val="0"/>
        <w:keepLines w:val="0"/>
        <w:widowControl/>
        <w:suppressLineNumbers w:val="0"/>
        <w:spacing w:before="0" w:beforeAutospacing="1" w:after="0" w:afterAutospacing="1" w:line="315" w:lineRule="atLeast"/>
        <w:ind w:left="0" w:right="0" w:firstLine="0"/>
        <w:jc w:val="left"/>
        <w:rPr>
          <w:rFonts w:ascii="sans-serif" w:hAnsi="sans-serif" w:eastAsia="sans-serif" w:cs="sans-serif"/>
          <w:i w:val="0"/>
          <w:iCs w:val="0"/>
          <w:caps w:val="0"/>
          <w:color w:val="000000"/>
          <w:spacing w:val="0"/>
          <w:sz w:val="24"/>
          <w:szCs w:val="24"/>
        </w:rPr>
      </w:pPr>
      <w:r>
        <w:rPr>
          <w:rFonts w:hint="eastAsia" w:ascii="仿宋_GB2312" w:cs="仿宋_GB2312"/>
          <w:i w:val="0"/>
          <w:iCs w:val="0"/>
          <w:caps w:val="0"/>
          <w:color w:val="000000"/>
          <w:spacing w:val="0"/>
          <w:kern w:val="0"/>
          <w:sz w:val="32"/>
          <w:szCs w:val="32"/>
          <w:lang w:val="en-US" w:eastAsia="zh-CN" w:bidi="ar"/>
        </w:rPr>
        <w:t>（一）</w:t>
      </w:r>
      <w:r>
        <w:rPr>
          <w:rFonts w:ascii="仿宋_GB2312" w:hAnsi="Times New Roman" w:eastAsia="仿宋_GB2312" w:cs="仿宋_GB2312"/>
          <w:i w:val="0"/>
          <w:iCs w:val="0"/>
          <w:caps w:val="0"/>
          <w:color w:val="000000"/>
          <w:spacing w:val="0"/>
          <w:kern w:val="0"/>
          <w:sz w:val="32"/>
          <w:szCs w:val="32"/>
          <w:lang w:val="en-US" w:eastAsia="zh-CN" w:bidi="ar"/>
        </w:rPr>
        <w:t>部门职责</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kern w:val="0"/>
          <w:sz w:val="32"/>
          <w:szCs w:val="32"/>
          <w:lang w:val="en-US" w:eastAsia="zh-CN" w:bidi="ar"/>
        </w:rPr>
        <w:t>1. 贯彻执行党和国家关于老干部工作的方针、政策和法规；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kern w:val="0"/>
          <w:sz w:val="32"/>
          <w:szCs w:val="32"/>
          <w:lang w:val="en-US" w:eastAsia="zh-CN" w:bidi="ar"/>
        </w:rPr>
        <w:t>2. 开展调查研究，为区委、区政府制订有关老干部工作的政策规定提供情况和依据；</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kern w:val="0"/>
          <w:sz w:val="32"/>
          <w:szCs w:val="32"/>
          <w:lang w:val="en-US" w:eastAsia="zh-CN" w:bidi="ar"/>
        </w:rPr>
        <w:t>3. 负责对全区老干部工作的督查、指导和协调，督促老干部政治待遇和生活待遇的落实，组织指导老干部开展活动、发挥作用；</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kern w:val="0"/>
          <w:sz w:val="32"/>
          <w:szCs w:val="32"/>
          <w:lang w:val="en-US" w:eastAsia="zh-CN" w:bidi="ar"/>
        </w:rPr>
        <w:t>4. 指导、督促离退休干部的党支部建设，开展老干部思想政治工作，加强老干部的学习教育；</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kern w:val="0"/>
          <w:sz w:val="32"/>
          <w:szCs w:val="32"/>
          <w:lang w:val="en-US" w:eastAsia="zh-CN" w:bidi="ar"/>
        </w:rPr>
        <w:t>5. 负责老干部和老干部工作的宣传，开展尊老、敬老、爱老活动，依法维护老干部的合法权益；</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kern w:val="0"/>
          <w:sz w:val="32"/>
          <w:szCs w:val="32"/>
          <w:lang w:val="en-US" w:eastAsia="zh-CN" w:bidi="ar"/>
        </w:rPr>
        <w:t>6. 按照有关规定，做好来区老干部的接待服务工作；承担区老干部工作领导小组办公室的日常工作；承担区关心下一代工作委员会的日常工作；</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kern w:val="0"/>
          <w:sz w:val="32"/>
          <w:szCs w:val="32"/>
          <w:lang w:val="en-US" w:eastAsia="zh-CN" w:bidi="ar"/>
        </w:rPr>
        <w:t>7. 负责老干部的来访来信，对老干部反映的问题进行检查、协调和处理，协调有关方面做好老干部思想政治工作；</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kern w:val="0"/>
          <w:sz w:val="32"/>
          <w:szCs w:val="32"/>
          <w:lang w:val="en-US" w:eastAsia="zh-CN" w:bidi="ar"/>
        </w:rPr>
        <w:t>8. 承办区委和区委组织部交办的其他事项。</w:t>
      </w:r>
    </w:p>
    <w:p>
      <w:pPr>
        <w:keepNext w:val="0"/>
        <w:keepLines w:val="0"/>
        <w:widowControl/>
        <w:suppressLineNumbers w:val="0"/>
        <w:spacing w:before="0" w:beforeAutospacing="1" w:after="0" w:afterAutospacing="1" w:line="315" w:lineRule="atLeast"/>
        <w:ind w:left="0" w:right="0" w:firstLine="0"/>
        <w:jc w:val="left"/>
        <w:rPr>
          <w:rFonts w:hint="eastAsia" w:ascii="仿宋_GB2312" w:hAnsi="sans-serif" w:cs="仿宋_GB2312"/>
          <w:i w:val="0"/>
          <w:iCs w:val="0"/>
          <w:caps w:val="0"/>
          <w:color w:val="000000"/>
          <w:spacing w:val="0"/>
          <w:kern w:val="0"/>
          <w:sz w:val="32"/>
          <w:szCs w:val="32"/>
          <w:lang w:val="en-US" w:eastAsia="zh-CN" w:bidi="ar"/>
        </w:rPr>
      </w:pPr>
      <w:r>
        <w:rPr>
          <w:rFonts w:hint="eastAsia" w:ascii="仿宋_GB2312" w:cs="仿宋_GB2312"/>
          <w:i w:val="0"/>
          <w:iCs w:val="0"/>
          <w:caps w:val="0"/>
          <w:color w:val="000000"/>
          <w:spacing w:val="0"/>
          <w:kern w:val="0"/>
          <w:sz w:val="32"/>
          <w:szCs w:val="32"/>
          <w:lang w:val="en-US" w:eastAsia="zh-CN" w:bidi="ar"/>
        </w:rPr>
        <w:t>（二）</w:t>
      </w:r>
      <w:r>
        <w:rPr>
          <w:rFonts w:hint="eastAsia" w:ascii="仿宋_GB2312" w:hAnsi="Times New Roman" w:eastAsia="仿宋_GB2312" w:cs="仿宋_GB2312"/>
          <w:i w:val="0"/>
          <w:iCs w:val="0"/>
          <w:caps w:val="0"/>
          <w:color w:val="000000"/>
          <w:spacing w:val="0"/>
          <w:kern w:val="0"/>
          <w:sz w:val="32"/>
          <w:szCs w:val="32"/>
          <w:lang w:val="en-US" w:eastAsia="zh-CN" w:bidi="ar"/>
        </w:rPr>
        <w:t>机构设置</w:t>
      </w:r>
      <w:r>
        <w:rPr>
          <w:rFonts w:hint="eastAsia" w:ascii="仿宋_GB2312" w:hAnsi="sans-serif" w:eastAsia="仿宋_GB2312" w:cs="仿宋_GB2312"/>
          <w:i w:val="0"/>
          <w:iCs w:val="0"/>
          <w:caps w:val="0"/>
          <w:color w:val="000000"/>
          <w:spacing w:val="0"/>
          <w:kern w:val="0"/>
          <w:sz w:val="32"/>
          <w:szCs w:val="32"/>
          <w:lang w:val="en-US" w:eastAsia="zh-CN" w:bidi="ar"/>
        </w:rPr>
        <w:t>及</w:t>
      </w:r>
      <w:r>
        <w:rPr>
          <w:rFonts w:hint="eastAsia" w:ascii="仿宋_GB2312" w:hAnsi="sans-serif" w:cs="仿宋_GB2312"/>
          <w:i w:val="0"/>
          <w:iCs w:val="0"/>
          <w:caps w:val="0"/>
          <w:color w:val="000000"/>
          <w:spacing w:val="0"/>
          <w:kern w:val="0"/>
          <w:sz w:val="32"/>
          <w:szCs w:val="32"/>
          <w:lang w:val="en-US" w:eastAsia="zh-CN" w:bidi="ar"/>
        </w:rPr>
        <w:t>人员编制情况</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kern w:val="0"/>
          <w:sz w:val="32"/>
          <w:szCs w:val="32"/>
          <w:lang w:val="en-US" w:eastAsia="zh-CN" w:bidi="ar"/>
        </w:rPr>
        <w:t>内设机构设置。中国共产党长沙市开福区委员会老干部局由3个内设科室（办公室、关工委办公室和五老四教办公室）和1个二级机构（长沙市开福区老干部活动中心）组成，上述3个内设科室和1个二级机构已经全部纳入决算。</w:t>
      </w:r>
    </w:p>
    <w:p>
      <w:pPr>
        <w:numPr>
          <w:numId w:val="0"/>
        </w:numPr>
        <w:rPr>
          <w:rFonts w:hint="eastAsia" w:eastAsia="仿宋_GB2312"/>
          <w:b w:val="0"/>
          <w:bCs w:val="0"/>
          <w:sz w:val="28"/>
          <w:szCs w:val="28"/>
          <w:lang w:eastAsia="zh-CN"/>
        </w:rPr>
      </w:pPr>
    </w:p>
    <w:p>
      <w:pPr>
        <w:numPr>
          <w:ilvl w:val="0"/>
          <w:numId w:val="1"/>
        </w:numPr>
        <w:ind w:left="0" w:leftChars="0" w:firstLine="560" w:firstLineChars="200"/>
        <w:rPr>
          <w:rFonts w:hint="eastAsia" w:eastAsia="仿宋_GB2312"/>
          <w:b w:val="0"/>
          <w:bCs w:val="0"/>
          <w:sz w:val="28"/>
          <w:szCs w:val="28"/>
          <w:lang w:eastAsia="zh-CN"/>
        </w:rPr>
      </w:pPr>
      <w:r>
        <w:rPr>
          <w:rFonts w:hint="eastAsia" w:eastAsia="仿宋_GB2312"/>
          <w:b w:val="0"/>
          <w:bCs w:val="0"/>
          <w:sz w:val="28"/>
          <w:szCs w:val="28"/>
          <w:lang w:eastAsia="zh-CN"/>
        </w:rPr>
        <w:t>部门整体支出使用及管理情况</w:t>
      </w:r>
    </w:p>
    <w:p>
      <w:pPr>
        <w:numPr>
          <w:ilvl w:val="0"/>
          <w:numId w:val="0"/>
        </w:numPr>
        <w:spacing w:line="240" w:lineRule="auto"/>
        <w:ind w:firstLine="640"/>
        <w:rPr>
          <w:rFonts w:hint="eastAsia" w:ascii="仿宋_GB2312" w:hAnsi="华文中宋"/>
          <w:sz w:val="32"/>
          <w:szCs w:val="32"/>
          <w:lang w:val="en-US" w:eastAsia="zh-CN"/>
        </w:rPr>
      </w:pPr>
      <w:r>
        <w:rPr>
          <w:rFonts w:hint="eastAsia" w:ascii="仿宋_GB2312" w:hAnsi="华文中宋"/>
          <w:sz w:val="32"/>
          <w:szCs w:val="32"/>
          <w:lang w:val="en-US" w:eastAsia="zh-CN"/>
        </w:rPr>
        <w:t>2018年中国共产党长沙市开福区委员会老干部局项目共13个，项目经费年初预算406.08万元。</w:t>
      </w:r>
    </w:p>
    <w:p>
      <w:pPr>
        <w:numPr>
          <w:ilvl w:val="0"/>
          <w:numId w:val="0"/>
        </w:numPr>
        <w:spacing w:line="240" w:lineRule="auto"/>
        <w:ind w:firstLine="640" w:firstLineChars="200"/>
        <w:rPr>
          <w:rFonts w:hint="eastAsia" w:ascii="仿宋_GB2312" w:hAnsi="华文中宋"/>
          <w:sz w:val="32"/>
          <w:szCs w:val="32"/>
          <w:lang w:val="en-US" w:eastAsia="zh-CN"/>
        </w:rPr>
      </w:pPr>
      <w:r>
        <w:rPr>
          <w:rFonts w:hint="eastAsia" w:ascii="仿宋_GB2312" w:hAnsi="华文中宋"/>
          <w:sz w:val="32"/>
          <w:szCs w:val="32"/>
          <w:lang w:val="en-US" w:eastAsia="zh-CN"/>
        </w:rPr>
        <w:t>关工委经费，主要用于开展关心下一代工作,以关心、教育、培养青少年健康成长为目的,用社会主义核心价值体系引领青少年；老干活动中心经费，主要用于满足老干部活动和学习需求；离退休干部党组织活动经费，主要用于组织离退休干部党员开展学习教育和党建活动；离退休干部经费，主要用于走访慰问离退休干部；老干大学办学经费（含北辰分校经费），主要用于老干大学东风路校区和北辰校区的日常运行、管理服务等，不断满足老同志日益增长的精神文化需求；五老四教工作经费，为老同志发挥作用搭建平台，组织引导老同志在开展宣讲、志愿服务、建言献策、矛盾纠纷调解等方面开展活动；老年艺术团经费，主要用于老年艺术团的日常运行管理；涉老协会经费，主要用于老年书画、诗词楹联、钓鱼、保健等协会的日常活动支出；离退休干部慰问补助经费，主要用于在组织老年节、区情通报会等活动时开展慰问；离退休干部帮困解难专项资金，主要用于慰问生活特别困难的离退休干部；离退休干部报刊费，主要用于为老干部订阅《老年人》杂志和《长沙晚报》等党报党刊；离退休干部社区四就近工作经费，主要用于为社区开展“四就近”服务工作搭建平台，促进老干部就近发挥作用，为老干部提供多样化、亲情化、精细化的服务；老年教育网络课堂工作经费，主要用于鼓励老年人参加远程教育网络直播课程学习，满足老年人多样化学习需求。</w:t>
      </w:r>
    </w:p>
    <w:p>
      <w:pPr>
        <w:numPr>
          <w:numId w:val="0"/>
        </w:numPr>
        <w:ind w:leftChars="200"/>
        <w:rPr>
          <w:rFonts w:hint="eastAsia" w:eastAsia="仿宋_GB2312"/>
          <w:b w:val="0"/>
          <w:bCs w:val="0"/>
          <w:sz w:val="28"/>
          <w:szCs w:val="28"/>
          <w:lang w:eastAsia="zh-CN"/>
        </w:rPr>
      </w:pPr>
    </w:p>
    <w:p>
      <w:pPr>
        <w:numPr>
          <w:ilvl w:val="0"/>
          <w:numId w:val="0"/>
        </w:numPr>
        <w:rPr>
          <w:rFonts w:hint="eastAsia" w:ascii="仿宋_GB2312" w:hAnsi="华文中宋"/>
          <w:sz w:val="32"/>
          <w:szCs w:val="32"/>
          <w:lang w:val="en-US" w:eastAsia="zh-CN"/>
        </w:rPr>
      </w:pPr>
      <w:r>
        <w:rPr>
          <w:rFonts w:hint="eastAsia" w:ascii="仿宋_GB2312" w:hAnsi="华文中宋"/>
          <w:sz w:val="32"/>
          <w:szCs w:val="32"/>
          <w:lang w:val="en-US" w:eastAsia="zh-CN"/>
        </w:rPr>
        <w:t xml:space="preserve">    关工委经费25万元，支出22.33万元；老干活动中心经费4万元，支出3.99万元；离退休干部党组织活动经费19万元，支出18.69万元；离退休干部经费28.28万元，支出14.51万元；老干大学办学经费（含北辰分校经费）120万元，支出119.42万元；五老四教工作经费25万元，支出22万元；老年艺术团经费2万元，支出2万元；涉老协会经费40万元，支出35.85万元；离退休干部慰问补助经费85.40万元，支出60.74万元；离退休干部帮困解难专项资金5万元，支出5万元；离退休干部报刊费24.40万元，支出23.64万元；离退休干部社区四就近工作经费12万元，支出12万元；老年教育网络课堂经费16万元，支出15.98万元。</w:t>
      </w:r>
      <w:r>
        <w:rPr>
          <w:rFonts w:hint="eastAsia" w:ascii="仿宋_GB2312" w:hAnsi="华文中宋"/>
          <w:szCs w:val="32"/>
        </w:rPr>
        <w:t>全部实行项目支出绩效目标管理。</w:t>
      </w:r>
    </w:p>
    <w:p>
      <w:pPr>
        <w:numPr>
          <w:numId w:val="0"/>
        </w:numPr>
        <w:ind w:left="1040" w:leftChars="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eastAsia="仿宋_GB2312"/>
          <w:b w:val="0"/>
          <w:bCs w:val="0"/>
          <w:sz w:val="28"/>
          <w:szCs w:val="28"/>
          <w:lang w:eastAsia="zh-CN"/>
        </w:rPr>
        <w:t>部门整体支出组织实施情况</w:t>
      </w:r>
    </w:p>
    <w:p>
      <w:pPr>
        <w:numPr>
          <w:ilvl w:val="0"/>
          <w:numId w:val="0"/>
        </w:numPr>
        <w:ind w:firstLine="640"/>
        <w:rPr>
          <w:rFonts w:hint="eastAsia" w:ascii="仿宋_GB2312" w:hAnsi="华文中宋"/>
          <w:sz w:val="32"/>
          <w:szCs w:val="32"/>
          <w:lang w:val="en-US" w:eastAsia="zh-CN"/>
        </w:rPr>
      </w:pPr>
      <w:r>
        <w:rPr>
          <w:rFonts w:hint="eastAsia" w:ascii="仿宋_GB2312" w:hAnsi="华文中宋"/>
          <w:sz w:val="32"/>
          <w:szCs w:val="32"/>
          <w:lang w:val="en-US" w:eastAsia="zh-CN"/>
        </w:rPr>
        <w:t>随着时间的推移，各项目工作基本按照计划顺利全面展开，项目经费的使用严格按照财务制度执行，项目的完成进度有序进行，项目完成后效果明显。</w:t>
      </w:r>
    </w:p>
    <w:p>
      <w:pPr>
        <w:numPr>
          <w:numId w:val="0"/>
        </w:numPr>
        <w:ind w:left="1040" w:leftChars="0"/>
        <w:rPr>
          <w:rFonts w:hint="eastAsia" w:ascii="仿宋_GB2312" w:hAnsi="华文中宋"/>
          <w:b/>
          <w:bCs/>
          <w:sz w:val="32"/>
          <w:szCs w:val="32"/>
          <w:lang w:eastAsia="zh-CN"/>
        </w:rPr>
      </w:pPr>
      <w:r>
        <w:rPr>
          <w:rFonts w:hint="eastAsia" w:ascii="仿宋_GB2312" w:hAnsi="华文中宋"/>
          <w:b/>
          <w:bCs/>
          <w:sz w:val="32"/>
          <w:szCs w:val="32"/>
          <w:lang w:eastAsia="zh-CN"/>
        </w:rPr>
        <w:t>四、</w:t>
      </w:r>
      <w:r>
        <w:rPr>
          <w:rFonts w:hint="eastAsia" w:eastAsia="仿宋_GB2312"/>
          <w:b w:val="0"/>
          <w:bCs w:val="0"/>
          <w:sz w:val="28"/>
          <w:szCs w:val="28"/>
          <w:lang w:eastAsia="zh-CN"/>
        </w:rPr>
        <w:t>部门整体支出绩效情况</w:t>
      </w:r>
    </w:p>
    <w:p>
      <w:pPr>
        <w:numPr>
          <w:ilvl w:val="0"/>
          <w:numId w:val="0"/>
        </w:numPr>
        <w:ind w:firstLine="640" w:firstLineChars="200"/>
        <w:rPr>
          <w:rFonts w:hint="eastAsia" w:ascii="仿宋_GB2312" w:hAnsi="华文中宋"/>
          <w:sz w:val="32"/>
          <w:szCs w:val="32"/>
          <w:lang w:eastAsia="zh-CN"/>
        </w:rPr>
      </w:pPr>
      <w:r>
        <w:rPr>
          <w:rFonts w:hint="eastAsia" w:ascii="仿宋_GB2312" w:hAnsi="华文中宋"/>
          <w:sz w:val="32"/>
          <w:szCs w:val="32"/>
          <w:lang w:val="en-US" w:eastAsia="zh-CN"/>
        </w:rPr>
        <w:t>2018年，中国共产党长沙市开福区委员会老干部局坚持以习近平新时代中国特色社会主义思想和党的十九大精神为指导，以离退休干部思想政治建设统领全局，</w:t>
      </w:r>
      <w:r>
        <w:rPr>
          <w:rFonts w:hint="eastAsia" w:ascii="仿宋_GB2312"/>
          <w:sz w:val="32"/>
          <w:szCs w:val="32"/>
          <w:lang w:eastAsia="zh-CN"/>
        </w:rPr>
        <w:t>各项工作稳步推进</w:t>
      </w:r>
      <w:r>
        <w:rPr>
          <w:rFonts w:hint="eastAsia" w:ascii="仿宋_GB2312" w:hAnsi="华文中宋"/>
          <w:sz w:val="32"/>
          <w:szCs w:val="32"/>
          <w:lang w:val="en-US" w:eastAsia="zh-CN"/>
        </w:rPr>
        <w:t>，成效明显，主要从以下5个方面开展工作：抓组织建设，强化思想政治引领；抓学习教育，确保老干部队伍稳定；抓精准服务，提升服务工作水平；抓阵地建设，强力推进文化养老；抓作用发挥，大力弘扬社会正能量。</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五、需要说明的问题</w:t>
      </w:r>
    </w:p>
    <w:p>
      <w:pPr>
        <w:numPr>
          <w:ilvl w:val="0"/>
          <w:numId w:val="0"/>
        </w:numPr>
        <w:rPr>
          <w:rFonts w:hint="eastAsia" w:ascii="仿宋_GB2312" w:hAnsi="华文中宋"/>
          <w:sz w:val="32"/>
          <w:szCs w:val="32"/>
          <w:lang w:val="en-US" w:eastAsia="zh-CN"/>
        </w:rPr>
      </w:pPr>
      <w:r>
        <w:rPr>
          <w:rFonts w:hint="eastAsia" w:ascii="仿宋_GB2312" w:hAnsi="华文中宋"/>
          <w:sz w:val="32"/>
          <w:szCs w:val="32"/>
          <w:lang w:val="en-US" w:eastAsia="zh-CN"/>
        </w:rPr>
        <w:t xml:space="preserve">    1.在资金使用合规性方面，各项目之间的预算经费使用有所混用；各项目经费及机关运行经费中部分资金使用没有严格按照预算的经济分类科目执行。今后将提升预算预见性，并在日常工作中规范执行。</w:t>
      </w:r>
    </w:p>
    <w:p>
      <w:pPr>
        <w:numPr>
          <w:ilvl w:val="0"/>
          <w:numId w:val="0"/>
        </w:numPr>
        <w:ind w:firstLine="640" w:firstLineChars="200"/>
        <w:rPr>
          <w:rFonts w:hint="eastAsia" w:ascii="仿宋_GB2312" w:hAnsi="华文中宋"/>
          <w:sz w:val="32"/>
          <w:szCs w:val="32"/>
          <w:lang w:val="en-US" w:eastAsia="zh-CN"/>
        </w:rPr>
      </w:pPr>
      <w:r>
        <w:rPr>
          <w:rFonts w:hint="eastAsia" w:ascii="仿宋_GB2312" w:hAnsi="华文中宋"/>
          <w:sz w:val="32"/>
          <w:szCs w:val="32"/>
          <w:lang w:val="en-US" w:eastAsia="zh-CN"/>
        </w:rPr>
        <w:t>2.部分项目经费的实际支出情况与预算数存在一定的差距，今后将加强与各业务部门的沟通，不断提升财务人员业务能力，提升预算的准确性。</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441868"/>
    <w:multiLevelType w:val="singleLevel"/>
    <w:tmpl w:val="D44418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4462229"/>
    <w:rsid w:val="071B5354"/>
    <w:rsid w:val="09893C27"/>
    <w:rsid w:val="1952443D"/>
    <w:rsid w:val="1A720868"/>
    <w:rsid w:val="21FE2501"/>
    <w:rsid w:val="22A76ED0"/>
    <w:rsid w:val="27A111A9"/>
    <w:rsid w:val="27F84239"/>
    <w:rsid w:val="2BE40CC5"/>
    <w:rsid w:val="2E2377F6"/>
    <w:rsid w:val="31196118"/>
    <w:rsid w:val="381B7C76"/>
    <w:rsid w:val="3FA462F3"/>
    <w:rsid w:val="43B53108"/>
    <w:rsid w:val="4AD2324C"/>
    <w:rsid w:val="5A3200EA"/>
    <w:rsid w:val="5EE67FB1"/>
    <w:rsid w:val="5FB42478"/>
    <w:rsid w:val="609E6808"/>
    <w:rsid w:val="65D8362B"/>
    <w:rsid w:val="69F63F78"/>
    <w:rsid w:val="706A7C7C"/>
    <w:rsid w:val="73113AC7"/>
    <w:rsid w:val="79663F98"/>
    <w:rsid w:val="7E3C5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rFonts w:hint="default" w:ascii="å¾®è½¯é›…é»‘" w:hAnsi="å¾®è½¯é›…é»‘" w:eastAsia="å¾®è½¯é›…é»‘" w:cs="å¾®è½¯é›…é»‘"/>
      <w:color w:val="303030"/>
      <w:u w:val="none"/>
    </w:rPr>
  </w:style>
  <w:style w:type="character" w:styleId="5">
    <w:name w:val="Hyperlink"/>
    <w:basedOn w:val="3"/>
    <w:qFormat/>
    <w:uiPriority w:val="0"/>
    <w:rPr>
      <w:rFonts w:ascii="å¾®è½¯é›…é»‘" w:hAnsi="å¾®è½¯é›…é»‘" w:eastAsia="å¾®è½¯é›…é»‘" w:cs="å¾®è½¯é›…é»‘"/>
      <w:color w:val="303030"/>
      <w:u w:val="none"/>
    </w:rPr>
  </w:style>
  <w:style w:type="character" w:customStyle="1" w:styleId="6">
    <w:name w:val="span-hover"/>
    <w:basedOn w:val="3"/>
    <w:qFormat/>
    <w:uiPriority w:val="0"/>
  </w:style>
  <w:style w:type="character" w:customStyle="1" w:styleId="7">
    <w:name w:val="span-bg10"/>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2019-10-27T07:40:00Z</dcterms:created>
  <dc:creator>Administrator</dc:creator>
  <cp:lastModifiedBy>紫薯味的熊丸子</cp:lastModifiedBy>
  <cp:lastPrinted>2019-10-31T12:07:00Z</cp:lastPrinted>
  <dcterms:modified xsi:type="dcterms:W3CDTF">2021-05-27T07:13:19Z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0EE75CB71E5449959E1E4152461BA28E</vt:lpwstr>
  </property>
</Properties>
</file>