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jc w:val="center"/>
        <w:rPr>
          <w:rFonts w:hint="eastAsia" w:eastAsia="方正小标宋_GBK"/>
          <w:sz w:val="44"/>
          <w:szCs w:val="24"/>
        </w:rPr>
      </w:pPr>
      <w:r>
        <w:rPr>
          <w:rFonts w:hint="eastAsia" w:eastAsia="方正小标宋_GBK"/>
          <w:sz w:val="44"/>
          <w:szCs w:val="24"/>
        </w:rPr>
        <w:t>2018年度部门整体支出绩效评价报告</w:t>
      </w:r>
    </w:p>
    <w:p>
      <w:pPr>
        <w:spacing w:line="540" w:lineRule="exact"/>
        <w:ind w:firstLine="0" w:firstLineChars="0"/>
        <w:jc w:val="center"/>
        <w:rPr>
          <w:rFonts w:hint="eastAsia" w:eastAsia="方正小标宋_GBK"/>
          <w:sz w:val="44"/>
          <w:szCs w:val="24"/>
        </w:rPr>
      </w:pPr>
    </w:p>
    <w:p>
      <w:pPr>
        <w:ind w:firstLine="640"/>
        <w:rPr>
          <w:rFonts w:ascii="黑体" w:hAnsi="黑体" w:eastAsia="黑体"/>
          <w:szCs w:val="32"/>
        </w:rPr>
      </w:pPr>
      <w:r>
        <w:rPr>
          <w:rFonts w:hint="eastAsia" w:ascii="黑体" w:hAnsi="黑体" w:eastAsia="黑体"/>
          <w:szCs w:val="32"/>
        </w:rPr>
        <w:t>一、</w:t>
      </w:r>
      <w:r>
        <w:rPr>
          <w:rFonts w:hint="eastAsia" w:ascii="黑体" w:hAnsi="黑体" w:eastAsia="黑体"/>
          <w:szCs w:val="32"/>
          <w:lang w:eastAsia="zh-CN"/>
        </w:rPr>
        <w:t>部门是整体支出</w:t>
      </w:r>
      <w:r>
        <w:rPr>
          <w:rFonts w:hint="eastAsia" w:ascii="黑体" w:hAnsi="黑体" w:eastAsia="黑体"/>
          <w:szCs w:val="32"/>
        </w:rPr>
        <w:t>概况</w:t>
      </w:r>
      <w:bookmarkStart w:id="0" w:name="_GoBack"/>
      <w:bookmarkEnd w:id="0"/>
    </w:p>
    <w:p>
      <w:pPr>
        <w:widowControl/>
        <w:ind w:firstLine="800" w:firstLineChars="250"/>
        <w:rPr>
          <w:rFonts w:hint="eastAsia" w:ascii="宋体" w:hAnsi="宋体" w:cs="宋体"/>
          <w:kern w:val="0"/>
          <w:szCs w:val="32"/>
        </w:rPr>
      </w:pPr>
      <w:r>
        <w:rPr>
          <w:rFonts w:hint="eastAsia" w:ascii="宋体" w:hAnsi="宋体" w:cs="宋体"/>
          <w:kern w:val="0"/>
          <w:szCs w:val="32"/>
        </w:rPr>
        <w:t>主要负责制定区直机关工委党的建设规划，领导区直机关各部门党组织的工作，负责向区委汇报区直机关党组织建设情况。领导和组织区直机关各部门党组织和广大党员理论学习，搞好党务工作人员理论、业务培训。领导区直机关各部门党组织围绕区委的中心工作，结合机关工作实际，提出贯彻落实的意见和措施；领导区直机关各党组织做好机关工作人员的思想政治工作。领导区直机关党组织实施对党员特别是党领导干部的监督，加强对领导干部民主生活会管理，深入调查研究，认真听取党员、干部的意见和建议，为区委，区政府正确决策、改进工作、干部任用当好参谋，提供服务。审批区直机关工委所属的区直各部门机关党组织的设置、换届选举；负责机关工委所属党组织正、副书记、支委会的审批、任免事项；做好发展新党员的审批工作和党费的收缴及管理工作。领导区直属机关纪律检查工作委员会（简称区直机关纪委）的工作，指导区直机关党组织加强党风廉政建设，按照审批权限规定范围,审核呈报和审批违反党纪的党员的党纪处分。领导区属机关工、青、妇等群众组织的工作。协助有关部门做好区直机关所属部门的干部、职工年终考核评先、统战和普法工作以及文明单位创建工作。协助有关部门做好区直机关所属部门的退休干部工作。完成区委交办的其他交办事项。开福区直机关工委由一个行政单位构成，无内设机构。2018年末在岗人员10人（其中在职在编人员8人，临聘人员1人，党务工作者1人），退休人员4人。</w:t>
      </w:r>
    </w:p>
    <w:p>
      <w:pPr>
        <w:ind w:firstLine="640"/>
        <w:rPr>
          <w:rFonts w:ascii="黑体" w:hAnsi="黑体" w:eastAsia="黑体"/>
          <w:szCs w:val="32"/>
        </w:rPr>
      </w:pPr>
      <w:r>
        <w:rPr>
          <w:rFonts w:hint="eastAsia" w:ascii="黑体" w:hAnsi="黑体" w:eastAsia="黑体"/>
          <w:szCs w:val="32"/>
        </w:rPr>
        <w:t xml:space="preserve">二、部门整体支出管理及使用情况 </w:t>
      </w:r>
    </w:p>
    <w:p>
      <w:pPr>
        <w:widowControl/>
        <w:ind w:firstLine="800" w:firstLineChars="250"/>
        <w:rPr>
          <w:rFonts w:hint="eastAsia" w:ascii="宋体" w:hAnsi="宋体" w:cs="宋体"/>
          <w:kern w:val="0"/>
          <w:szCs w:val="32"/>
        </w:rPr>
      </w:pPr>
      <w:r>
        <w:rPr>
          <w:rFonts w:hint="eastAsia" w:ascii="宋体" w:hAnsi="宋体" w:cs="宋体"/>
          <w:kern w:val="0"/>
          <w:szCs w:val="32"/>
        </w:rPr>
        <w:t>全年支出决算数346.95万元，其中：</w:t>
      </w:r>
    </w:p>
    <w:p>
      <w:pPr>
        <w:widowControl/>
        <w:ind w:firstLine="800" w:firstLineChars="250"/>
        <w:rPr>
          <w:rFonts w:hint="eastAsia" w:ascii="宋体" w:hAnsi="宋体" w:cs="宋体"/>
          <w:kern w:val="0"/>
          <w:szCs w:val="32"/>
        </w:rPr>
      </w:pPr>
      <w:r>
        <w:rPr>
          <w:rFonts w:hint="eastAsia" w:ascii="宋体" w:hAnsi="宋体" w:cs="宋体"/>
          <w:kern w:val="0"/>
          <w:szCs w:val="32"/>
        </w:rPr>
        <w:t>（一）基本支出340.85万元，为保障单位机构正常运转、完成日常工作任务而发生的各项支出，包括用于基本工资、津贴补贴等人员经费283.56万元，以及办公费、会议费、培训费、印刷费、办公设备购置等日常公用经费57.28万元；“三公经费”支出0元。</w:t>
      </w:r>
    </w:p>
    <w:p>
      <w:pPr>
        <w:widowControl/>
        <w:ind w:firstLine="800" w:firstLineChars="250"/>
        <w:rPr>
          <w:rFonts w:hint="eastAsia" w:ascii="宋体" w:hAnsi="宋体" w:cs="宋体"/>
          <w:kern w:val="0"/>
          <w:szCs w:val="32"/>
        </w:rPr>
      </w:pPr>
      <w:r>
        <w:rPr>
          <w:rFonts w:hint="eastAsia" w:ascii="宋体" w:hAnsi="宋体" w:cs="宋体"/>
          <w:kern w:val="0"/>
          <w:szCs w:val="32"/>
        </w:rPr>
        <w:t>（二）专项支出年初预算资金39.6万元，均为区财政拨款。年终决算实际使用38.8万元，包括：</w:t>
      </w:r>
    </w:p>
    <w:p>
      <w:pPr>
        <w:widowControl/>
        <w:ind w:firstLine="800" w:firstLineChars="250"/>
        <w:rPr>
          <w:rFonts w:hint="eastAsia" w:ascii="宋体" w:hAnsi="宋体" w:cs="宋体"/>
          <w:kern w:val="0"/>
          <w:szCs w:val="32"/>
        </w:rPr>
      </w:pPr>
      <w:r>
        <w:rPr>
          <w:rFonts w:hint="eastAsia" w:ascii="宋体" w:hAnsi="宋体" w:cs="宋体"/>
          <w:kern w:val="0"/>
          <w:szCs w:val="32"/>
        </w:rPr>
        <w:t>1、机关党建工作及活动经费20万，主要用于制定区直机关工委党的建设规划，领导区直机关各部门党组织的工作，负责向区委汇报区直机关党组织建设情况。领导和组织区直机关各部门党组织和广大党员理论学习，搞好党务工作人员理论、业务培训。审批区直机关工委所属的区直各部门机关党组织的设置、换届选举；负责机关工委所属党组织正、副书记、支委会的审批、任免事项；做好发展新党员的审批工作和党费的收缴及管理工作。</w:t>
      </w:r>
    </w:p>
    <w:p>
      <w:pPr>
        <w:widowControl/>
        <w:ind w:firstLine="800" w:firstLineChars="250"/>
        <w:rPr>
          <w:rFonts w:hint="eastAsia" w:ascii="宋体" w:hAnsi="宋体" w:cs="宋体"/>
          <w:kern w:val="0"/>
          <w:szCs w:val="32"/>
        </w:rPr>
      </w:pPr>
      <w:r>
        <w:rPr>
          <w:rFonts w:hint="eastAsia" w:ascii="宋体" w:hAnsi="宋体" w:cs="宋体"/>
          <w:kern w:val="0"/>
          <w:szCs w:val="32"/>
        </w:rPr>
        <w:t>2、机关纪检工作和作风建设工作经费3万，主要用于领导区直属机关纪律检查工作委员会（简称区直机关纪委）的工作，指导区直机关党组织加强党风廉政建设，按照审批权限规定范围,审核呈报和审批违反党纪的党员的党纪处分。</w:t>
      </w:r>
    </w:p>
    <w:p>
      <w:pPr>
        <w:widowControl/>
        <w:ind w:firstLine="800" w:firstLineChars="250"/>
        <w:rPr>
          <w:rFonts w:hint="eastAsia" w:ascii="宋体" w:hAnsi="宋体" w:cs="宋体"/>
          <w:kern w:val="0"/>
          <w:szCs w:val="32"/>
        </w:rPr>
      </w:pPr>
      <w:r>
        <w:rPr>
          <w:rFonts w:hint="eastAsia" w:ascii="宋体" w:hAnsi="宋体" w:cs="宋体"/>
          <w:kern w:val="0"/>
          <w:szCs w:val="32"/>
        </w:rPr>
        <w:t>3、机关退休党支部工作及活动经费9.6万元，主要用于区直机关所属部门的退休干部集中学习，主题党日活动开展等工作。</w:t>
      </w:r>
    </w:p>
    <w:p>
      <w:pPr>
        <w:widowControl/>
        <w:ind w:firstLine="800" w:firstLineChars="250"/>
        <w:rPr>
          <w:rFonts w:hint="eastAsia" w:ascii="宋体" w:hAnsi="宋体" w:cs="宋体"/>
          <w:kern w:val="0"/>
          <w:szCs w:val="32"/>
        </w:rPr>
      </w:pPr>
      <w:r>
        <w:rPr>
          <w:rFonts w:hint="eastAsia" w:ascii="宋体" w:hAnsi="宋体" w:cs="宋体"/>
          <w:kern w:val="0"/>
          <w:szCs w:val="32"/>
        </w:rPr>
        <w:t>4、机关女性和未成年子女保险经费7万元，主要用于为机关在职女性及在职职工未满14周岁子女购买保险。</w:t>
      </w:r>
    </w:p>
    <w:p>
      <w:pPr>
        <w:widowControl/>
        <w:ind w:firstLine="800" w:firstLineChars="250"/>
        <w:rPr>
          <w:rFonts w:hint="eastAsia" w:ascii="宋体" w:hAnsi="宋体" w:cs="宋体"/>
          <w:kern w:val="0"/>
          <w:szCs w:val="32"/>
        </w:rPr>
      </w:pPr>
      <w:r>
        <w:rPr>
          <w:rFonts w:hint="eastAsia" w:ascii="宋体" w:hAnsi="宋体" w:cs="宋体"/>
          <w:kern w:val="0"/>
          <w:szCs w:val="32"/>
        </w:rPr>
        <w:t>（三）全年通过政府采购程序采购办公设备2.98万元。</w:t>
      </w:r>
    </w:p>
    <w:p>
      <w:pPr>
        <w:widowControl/>
        <w:ind w:firstLine="800" w:firstLineChars="250"/>
        <w:rPr>
          <w:rFonts w:hint="eastAsia" w:ascii="宋体" w:hAnsi="宋体" w:cs="宋体"/>
          <w:kern w:val="0"/>
          <w:szCs w:val="32"/>
        </w:rPr>
      </w:pPr>
      <w:r>
        <w:rPr>
          <w:rFonts w:hint="eastAsia" w:ascii="宋体" w:hAnsi="宋体" w:cs="宋体"/>
          <w:kern w:val="0"/>
          <w:szCs w:val="32"/>
        </w:rPr>
        <w:t>各项资金及资产管理严格按照各级各项规定执行，确保资金、资产安全和资金的使用效率。</w:t>
      </w:r>
    </w:p>
    <w:p>
      <w:pPr>
        <w:ind w:firstLine="800" w:firstLineChars="250"/>
        <w:rPr>
          <w:rFonts w:hint="eastAsia" w:ascii="黑体" w:hAnsi="黑体" w:eastAsia="黑体" w:cs="黑体"/>
          <w:b w:val="0"/>
          <w:bCs/>
          <w:sz w:val="32"/>
          <w:szCs w:val="32"/>
        </w:rPr>
      </w:pPr>
      <w:r>
        <w:rPr>
          <w:rFonts w:hint="eastAsia" w:ascii="黑体" w:hAnsi="黑体" w:eastAsia="黑体" w:cs="黑体"/>
          <w:b w:val="0"/>
          <w:bCs/>
          <w:sz w:val="32"/>
          <w:szCs w:val="32"/>
        </w:rPr>
        <w:t>三、部门</w:t>
      </w:r>
      <w:r>
        <w:rPr>
          <w:rFonts w:hint="eastAsia" w:ascii="黑体" w:hAnsi="黑体" w:eastAsia="黑体" w:cs="黑体"/>
          <w:b w:val="0"/>
          <w:bCs/>
          <w:sz w:val="32"/>
          <w:szCs w:val="32"/>
          <w:lang w:val="en-US" w:eastAsia="zh-CN"/>
        </w:rPr>
        <w:t>整体支出组织</w:t>
      </w:r>
      <w:r>
        <w:rPr>
          <w:rFonts w:hint="eastAsia" w:ascii="黑体" w:hAnsi="黑体" w:eastAsia="黑体" w:cs="黑体"/>
          <w:b w:val="0"/>
          <w:bCs/>
          <w:sz w:val="32"/>
          <w:szCs w:val="32"/>
        </w:rPr>
        <w:t xml:space="preserve">实施情况 </w:t>
      </w:r>
    </w:p>
    <w:p>
      <w:pPr>
        <w:widowControl/>
        <w:ind w:firstLine="800" w:firstLineChars="250"/>
        <w:rPr>
          <w:rFonts w:hint="eastAsia" w:ascii="宋体" w:hAnsi="宋体" w:cs="宋体"/>
          <w:kern w:val="0"/>
          <w:szCs w:val="32"/>
        </w:rPr>
      </w:pPr>
      <w:r>
        <w:rPr>
          <w:rFonts w:hint="eastAsia" w:ascii="宋体" w:hAnsi="宋体" w:cs="宋体"/>
          <w:kern w:val="0"/>
          <w:szCs w:val="32"/>
        </w:rPr>
        <w:t>（一）本单位专项资金使用时均按相关要求、相关制度进行。</w:t>
      </w:r>
    </w:p>
    <w:p>
      <w:pPr>
        <w:widowControl/>
        <w:ind w:firstLine="800" w:firstLineChars="250"/>
        <w:rPr>
          <w:rFonts w:hint="eastAsia" w:ascii="宋体" w:hAnsi="宋体" w:cs="宋体"/>
          <w:kern w:val="0"/>
          <w:szCs w:val="32"/>
        </w:rPr>
      </w:pPr>
      <w:r>
        <w:rPr>
          <w:rFonts w:hint="eastAsia" w:ascii="宋体" w:hAnsi="宋体" w:cs="宋体"/>
          <w:kern w:val="0"/>
          <w:szCs w:val="32"/>
        </w:rPr>
        <w:t>（二）专项资金使用均按局相关制度进行。</w:t>
      </w:r>
    </w:p>
    <w:p>
      <w:pPr>
        <w:ind w:firstLine="640"/>
        <w:rPr>
          <w:rFonts w:hint="eastAsia" w:ascii="黑体" w:hAnsi="黑体" w:eastAsia="黑体"/>
          <w:b w:val="0"/>
          <w:bCs w:val="0"/>
          <w:szCs w:val="32"/>
          <w:u w:val="none"/>
        </w:rPr>
      </w:pPr>
      <w:r>
        <w:rPr>
          <w:rFonts w:hint="eastAsia" w:ascii="黑体" w:hAnsi="黑体" w:eastAsia="黑体"/>
          <w:b w:val="0"/>
          <w:bCs w:val="0"/>
          <w:szCs w:val="32"/>
          <w:u w:val="none"/>
          <w:lang w:eastAsia="zh-CN"/>
        </w:rPr>
        <w:t>四</w:t>
      </w:r>
      <w:r>
        <w:rPr>
          <w:rFonts w:hint="eastAsia" w:ascii="黑体" w:hAnsi="黑体" w:eastAsia="黑体"/>
          <w:b w:val="0"/>
          <w:bCs w:val="0"/>
          <w:szCs w:val="32"/>
          <w:u w:val="none"/>
        </w:rPr>
        <w:t>、部门整体支出绩效情况</w:t>
      </w:r>
    </w:p>
    <w:p>
      <w:pPr>
        <w:widowControl/>
        <w:ind w:firstLine="800" w:firstLineChars="250"/>
        <w:rPr>
          <w:rFonts w:hint="eastAsia" w:ascii="宋体" w:hAnsi="宋体" w:cs="宋体"/>
          <w:kern w:val="0"/>
          <w:szCs w:val="32"/>
        </w:rPr>
      </w:pPr>
      <w:r>
        <w:rPr>
          <w:rFonts w:hint="eastAsia" w:ascii="宋体" w:hAnsi="宋体" w:cs="宋体"/>
          <w:kern w:val="0"/>
          <w:szCs w:val="32"/>
        </w:rPr>
        <w:t>2018年，在区委、区政府的坚强领导和区直各部门的支持配合下，区直机关工委认真学习贯彻习近平新时代中国特色社会主义思想，以“走在前，作表率”的姿态，全面推进从严治党向基层延伸，圆满完成了区委、区政府下达的年度目标任务，机关党建工作实现了新跨越。</w:t>
      </w:r>
    </w:p>
    <w:p>
      <w:pPr>
        <w:spacing w:line="580" w:lineRule="exact"/>
        <w:ind w:firstLine="640"/>
        <w:rPr>
          <w:rFonts w:hint="eastAsia" w:ascii="黑体" w:hAnsi="黑体" w:eastAsia="黑体" w:cs="仿宋_GB2312"/>
          <w:szCs w:val="32"/>
        </w:rPr>
      </w:pPr>
      <w:r>
        <w:rPr>
          <w:rFonts w:hint="eastAsia" w:ascii="黑体" w:hAnsi="黑体" w:eastAsia="黑体" w:cs="仿宋_GB2312"/>
          <w:szCs w:val="32"/>
        </w:rPr>
        <w:t>（一）、强化政治引领，把全面从严治党责任落到实处</w:t>
      </w:r>
    </w:p>
    <w:p>
      <w:pPr>
        <w:spacing w:line="580" w:lineRule="exact"/>
        <w:ind w:firstLine="643"/>
        <w:rPr>
          <w:rFonts w:hint="eastAsia" w:ascii="宋体" w:hAnsi="宋体" w:cs="宋体"/>
          <w:kern w:val="0"/>
          <w:szCs w:val="32"/>
        </w:rPr>
      </w:pPr>
      <w:r>
        <w:rPr>
          <w:rFonts w:hint="eastAsia" w:ascii="仿宋_GB2312" w:hAnsi="黑体"/>
          <w:b/>
          <w:szCs w:val="32"/>
        </w:rPr>
        <w:t>1、将政治建设摆在首位，加强工委自身建设。</w:t>
      </w:r>
      <w:r>
        <w:rPr>
          <w:rFonts w:hint="eastAsia" w:ascii="宋体" w:hAnsi="宋体" w:cs="宋体"/>
          <w:kern w:val="0"/>
          <w:szCs w:val="32"/>
        </w:rPr>
        <w:t>通过加强工委中心组学习、带头以普通党员身份参加党内组织生活等全面提升班子政治素质。通过实行周例会、月调度、班子成员联点基层支部、项目任务责任到人等制度，形成了人人身上有责任、个个肩上有担子的工作格局。在推动工作落实的具体实践中，班子成员团结心齐、分工协作、优势互补、奋发有为，做到事事严要求、件件出精品。工委班子履职尽责的意识和能力大大增强，工委支部带头落实党内各项工作制度，工作更加扎实到位。</w:t>
      </w:r>
    </w:p>
    <w:p>
      <w:pPr>
        <w:spacing w:line="580" w:lineRule="exact"/>
        <w:ind w:firstLine="643"/>
        <w:rPr>
          <w:rFonts w:hint="eastAsia" w:ascii="宋体" w:hAnsi="宋体" w:cs="宋体"/>
          <w:kern w:val="0"/>
          <w:szCs w:val="32"/>
        </w:rPr>
      </w:pPr>
      <w:r>
        <w:rPr>
          <w:rFonts w:hint="eastAsia" w:ascii="仿宋_GB2312" w:hAnsi="宋体"/>
          <w:b/>
          <w:szCs w:val="32"/>
        </w:rPr>
        <w:t>2、强化意识形态工作责任，确保区直机关政治安全。</w:t>
      </w:r>
      <w:r>
        <w:rPr>
          <w:rFonts w:hint="eastAsia" w:ascii="宋体" w:hAnsi="宋体" w:cs="宋体"/>
          <w:kern w:val="0"/>
          <w:szCs w:val="32"/>
        </w:rPr>
        <w:t>注重抓好党建工作与意识形态工作的有机结合，开展对党务工作者进行做好新时代意识形态工作的专题培训，将意识形态工作责任制贯穿到党支部日常工作中，确保党员干部队伍具有过硬的思想政治素质。</w:t>
      </w:r>
    </w:p>
    <w:p>
      <w:pPr>
        <w:spacing w:line="580" w:lineRule="exact"/>
        <w:ind w:firstLine="640"/>
        <w:rPr>
          <w:rFonts w:hint="eastAsia" w:ascii="黑体" w:hAnsi="黑体" w:eastAsia="黑体" w:cs="仿宋_GB2312"/>
          <w:szCs w:val="32"/>
        </w:rPr>
      </w:pPr>
      <w:r>
        <w:rPr>
          <w:rFonts w:hint="eastAsia" w:ascii="黑体" w:hAnsi="黑体" w:eastAsia="黑体" w:cs="仿宋_GB2312"/>
          <w:szCs w:val="32"/>
        </w:rPr>
        <w:t>（二）、强化理论武装，把坚定理想信念教育落到实处</w:t>
      </w:r>
    </w:p>
    <w:p>
      <w:pPr>
        <w:spacing w:line="580" w:lineRule="exact"/>
        <w:ind w:firstLine="643"/>
        <w:rPr>
          <w:rFonts w:hint="eastAsia" w:ascii="宋体" w:hAnsi="宋体" w:cs="宋体"/>
          <w:kern w:val="0"/>
          <w:szCs w:val="32"/>
        </w:rPr>
      </w:pPr>
      <w:r>
        <w:rPr>
          <w:rFonts w:hint="eastAsia" w:ascii="仿宋_GB2312" w:hAnsi="黑体"/>
          <w:b/>
          <w:szCs w:val="32"/>
        </w:rPr>
        <w:t>1、认真学习贯彻党的十九大精神，推动习近平新时代中国特色社会主义思想武装头脑，推进工作。</w:t>
      </w:r>
      <w:r>
        <w:rPr>
          <w:rFonts w:hint="eastAsia" w:ascii="宋体" w:hAnsi="宋体" w:cs="宋体"/>
          <w:kern w:val="0"/>
          <w:szCs w:val="32"/>
        </w:rPr>
        <w:t>对党的十九大精神区分层次、分批组织进行了集中学习，开展了“党的十九大精神大讨论，大测试”活动，并引导机关党员积极参加了红星云的“学报告，学党章”答题竞赛；同时，认真开展习近平新时代中国特色社会主义思想“天天见，天天新，天天深”“三做一评”活动，组织开展了 “微宣讲”比赛和理论学习征文，制作了“微电影”，其中，区直机关选送的陈思含在全市的“微宣讲”比赛中荣获二等奖。</w:t>
      </w:r>
    </w:p>
    <w:p>
      <w:pPr>
        <w:spacing w:line="580" w:lineRule="exact"/>
        <w:ind w:firstLine="643"/>
        <w:rPr>
          <w:rFonts w:hint="eastAsia" w:ascii="宋体" w:hAnsi="宋体" w:cs="宋体"/>
          <w:kern w:val="0"/>
          <w:szCs w:val="32"/>
        </w:rPr>
      </w:pPr>
      <w:r>
        <w:rPr>
          <w:rFonts w:hint="eastAsia" w:ascii="仿宋_GB2312" w:hAnsi="黑体"/>
          <w:b/>
          <w:szCs w:val="32"/>
        </w:rPr>
        <w:t>2、浓厚政治文化氛围，强化党员干部党性修养。</w:t>
      </w:r>
      <w:r>
        <w:rPr>
          <w:rFonts w:hint="eastAsia" w:ascii="宋体" w:hAnsi="宋体" w:cs="宋体"/>
          <w:kern w:val="0"/>
          <w:szCs w:val="32"/>
        </w:rPr>
        <w:t>主动向区委区政府提出加强区治机关大院政治文化建设的建议，在机关大院制作、悬挂了120多块党建文化主题标语牌，设置了2块电子显示屏，用以宣传党的理论、路线、方针、政策。以“先锋大课堂”、“党建沙龙”、 退休支部集中学习为载体，加强对党员干部、党支部书记和退休党员的政治思想教育。圆满完成1200多份党报党刊征订发行任务。</w:t>
      </w:r>
    </w:p>
    <w:p>
      <w:pPr>
        <w:spacing w:line="580" w:lineRule="exact"/>
        <w:ind w:firstLine="640"/>
        <w:rPr>
          <w:rFonts w:hint="eastAsia" w:ascii="黑体" w:hAnsi="黑体" w:eastAsia="黑体" w:cs="仿宋_GB2312"/>
          <w:szCs w:val="32"/>
        </w:rPr>
      </w:pPr>
      <w:r>
        <w:rPr>
          <w:rFonts w:hint="eastAsia" w:ascii="黑体" w:hAnsi="黑体" w:eastAsia="黑体" w:cs="仿宋_GB2312"/>
          <w:szCs w:val="32"/>
        </w:rPr>
        <w:t>（三）、强化组织建设，把夯实党建基础落到实处</w:t>
      </w:r>
    </w:p>
    <w:p>
      <w:pPr>
        <w:spacing w:line="580" w:lineRule="exact"/>
        <w:ind w:firstLine="643"/>
        <w:rPr>
          <w:rFonts w:hint="eastAsia" w:ascii="宋体" w:hAnsi="宋体" w:cs="宋体"/>
          <w:kern w:val="0"/>
          <w:szCs w:val="32"/>
        </w:rPr>
      </w:pPr>
      <w:r>
        <w:rPr>
          <w:rFonts w:hint="eastAsia" w:ascii="仿宋_GB2312" w:hAnsi="仿宋_GB2312" w:cs="仿宋_GB2312"/>
          <w:b/>
          <w:szCs w:val="32"/>
        </w:rPr>
        <w:t>1、</w:t>
      </w:r>
      <w:r>
        <w:rPr>
          <w:rFonts w:hint="eastAsia" w:ascii="仿宋_GB2312" w:hAnsi="仿宋_GB2312" w:cs="仿宋_GB2312"/>
          <w:b/>
          <w:bCs/>
          <w:szCs w:val="32"/>
        </w:rPr>
        <w:t>重点推进党支部“五化”建设。</w:t>
      </w:r>
      <w:r>
        <w:rPr>
          <w:rFonts w:hint="eastAsia" w:ascii="宋体" w:hAnsi="宋体" w:cs="宋体"/>
          <w:kern w:val="0"/>
          <w:szCs w:val="32"/>
        </w:rPr>
        <w:t>将2018年确定为“机关党建提质增效年”,组织区直机关党（总）支部书记赴嘉兴开展提升“五化”建设能力专题培训，组织召开1次工作部署会、1次工作推进会、1 次现场观摩和经验交流，针对机关党组织在推进“五化”建设过程中遇到的困难和问题，及时进行分析和研究，提出解决办法，指导基层党组织因地制宜完成党建阵地建设，及时整改党组织关系管理、换届选举、党组织设置等方面的突出问题，梳理出支部工作制度体系清单，发出换届提醒通知10份，指导区直机关的8个党支部创建示范化党支部。</w:t>
      </w:r>
    </w:p>
    <w:p>
      <w:pPr>
        <w:spacing w:line="580" w:lineRule="exact"/>
        <w:ind w:firstLine="643"/>
        <w:rPr>
          <w:rFonts w:hint="eastAsia" w:ascii="宋体" w:hAnsi="宋体" w:cs="宋体"/>
          <w:kern w:val="0"/>
          <w:szCs w:val="32"/>
        </w:rPr>
      </w:pPr>
      <w:r>
        <w:rPr>
          <w:rFonts w:hint="eastAsia" w:ascii="仿宋_GB2312" w:hAnsi="华文中宋"/>
          <w:b/>
          <w:szCs w:val="32"/>
        </w:rPr>
        <w:t>2、着力抓实机关党建基础工作。</w:t>
      </w:r>
      <w:r>
        <w:rPr>
          <w:rFonts w:hint="eastAsia" w:ascii="宋体" w:hAnsi="宋体" w:cs="宋体"/>
          <w:kern w:val="0"/>
          <w:szCs w:val="32"/>
        </w:rPr>
        <w:t>通过实施支部积分管理督促支部做实基础工作，通过推行党员积分管理督促党员增强组织观念，通过落实主题党日活动制度提升党性教育效果，通过强化党建督查提升党建工作水平，通过专题授课提高机关党务工作者的党建业务水平。年初，工委书记带队对53个机关党组织进行深入调研、督查和指导，逐个下发问题整改清单，逐项进行销号清零，年底，组织53名机关党组织书记进行述职评议。全年发展党员19名，办理预备党员转正15名，收缴党费50余万元。</w:t>
      </w:r>
    </w:p>
    <w:p>
      <w:pPr>
        <w:spacing w:line="580" w:lineRule="exact"/>
        <w:ind w:firstLine="640"/>
        <w:rPr>
          <w:rFonts w:hint="eastAsia" w:ascii="黑体" w:hAnsi="黑体" w:eastAsia="黑体" w:cs="仿宋_GB2312"/>
          <w:szCs w:val="32"/>
        </w:rPr>
      </w:pPr>
      <w:r>
        <w:rPr>
          <w:rFonts w:hint="eastAsia" w:ascii="黑体" w:hAnsi="黑体" w:eastAsia="黑体" w:cs="仿宋_GB2312"/>
          <w:szCs w:val="32"/>
        </w:rPr>
        <w:t>（四）、强化两个责任，把作风纪律建设落到实处</w:t>
      </w:r>
    </w:p>
    <w:p>
      <w:pPr>
        <w:spacing w:line="580" w:lineRule="exact"/>
        <w:ind w:firstLine="643"/>
        <w:jc w:val="left"/>
        <w:rPr>
          <w:rFonts w:hint="eastAsia" w:ascii="宋体" w:hAnsi="宋体" w:cs="宋体"/>
          <w:kern w:val="0"/>
          <w:szCs w:val="32"/>
        </w:rPr>
      </w:pPr>
      <w:r>
        <w:rPr>
          <w:rFonts w:hint="eastAsia" w:ascii="仿宋_GB2312" w:hAnsi="黑体" w:cs="仿宋_GB2312"/>
          <w:b/>
          <w:szCs w:val="32"/>
        </w:rPr>
        <w:t>1、严格落实党风廉政建设的主体责任和监督责任。</w:t>
      </w:r>
      <w:r>
        <w:rPr>
          <w:rFonts w:hint="eastAsia" w:ascii="宋体" w:hAnsi="宋体" w:cs="宋体"/>
          <w:kern w:val="0"/>
          <w:szCs w:val="32"/>
        </w:rPr>
        <w:t>对党风廉政建设和反腐败工作进行责任分解，班子成员全部签订责任书，廉政谈话等各项制度全面落实。</w:t>
      </w:r>
    </w:p>
    <w:p>
      <w:pPr>
        <w:spacing w:line="580" w:lineRule="exact"/>
        <w:ind w:firstLine="643"/>
        <w:jc w:val="left"/>
        <w:rPr>
          <w:rFonts w:hint="eastAsia" w:ascii="宋体" w:hAnsi="宋体" w:cs="宋体"/>
          <w:kern w:val="0"/>
          <w:szCs w:val="32"/>
        </w:rPr>
      </w:pPr>
      <w:r>
        <w:rPr>
          <w:rFonts w:hint="eastAsia" w:ascii="仿宋_GB2312" w:hAnsi="黑体" w:cs="仿宋_GB2312"/>
          <w:b/>
          <w:szCs w:val="32"/>
        </w:rPr>
        <w:t>2、持续开展正风肃纪。</w:t>
      </w:r>
      <w:r>
        <w:rPr>
          <w:rFonts w:hint="eastAsia" w:ascii="宋体" w:hAnsi="宋体" w:cs="宋体"/>
          <w:kern w:val="0"/>
          <w:szCs w:val="32"/>
        </w:rPr>
        <w:t>先后开展了“违规收送红包礼金”、“违反中央八项规定精神”、“四治四提”和“提篮子”等问题专项整治工作。联合区纪委监委开展全区干部作风建设大调查活动，对区机关领导干部、基层干部、服务对象共发放和收回调查问卷1897份，为区委、区纪委监委进一步抓好干部作风建设提供了参考和依据。坚持纪严于法、纪在法前，把纪律和规矩挺在前面，严肃查处违纪违法行为，协助区纪委监委对4名党员干部的违纪违法行为进行查处，给予相应的党纪处分。</w:t>
      </w:r>
    </w:p>
    <w:p>
      <w:pPr>
        <w:ind w:firstLine="643"/>
        <w:rPr>
          <w:rFonts w:hint="eastAsia" w:ascii="黑体" w:hAnsi="黑体" w:eastAsia="黑体"/>
          <w:b w:val="0"/>
          <w:bCs/>
          <w:szCs w:val="32"/>
          <w:lang w:eastAsia="zh-CN"/>
        </w:rPr>
      </w:pPr>
      <w:r>
        <w:rPr>
          <w:rFonts w:hint="eastAsia" w:ascii="黑体" w:hAnsi="黑体" w:eastAsia="黑体"/>
          <w:b w:val="0"/>
          <w:bCs/>
          <w:szCs w:val="32"/>
          <w:lang w:eastAsia="zh-CN"/>
        </w:rPr>
        <w:t>五</w:t>
      </w:r>
      <w:r>
        <w:rPr>
          <w:rFonts w:hint="eastAsia" w:ascii="黑体" w:hAnsi="黑体" w:eastAsia="黑体"/>
          <w:b w:val="0"/>
          <w:bCs/>
          <w:szCs w:val="32"/>
        </w:rPr>
        <w:t>、</w:t>
      </w:r>
      <w:r>
        <w:rPr>
          <w:rFonts w:hint="eastAsia" w:ascii="黑体" w:hAnsi="黑体" w:eastAsia="黑体"/>
          <w:b w:val="0"/>
          <w:bCs/>
          <w:szCs w:val="32"/>
          <w:lang w:eastAsia="zh-CN"/>
        </w:rPr>
        <w:t>需要说明的问题</w:t>
      </w:r>
    </w:p>
    <w:p>
      <w:pPr>
        <w:spacing w:line="580" w:lineRule="exact"/>
        <w:ind w:firstLine="643"/>
        <w:jc w:val="left"/>
        <w:rPr>
          <w:rFonts w:hint="eastAsia" w:ascii="宋体" w:hAnsi="宋体" w:cs="宋体"/>
          <w:kern w:val="0"/>
          <w:szCs w:val="32"/>
        </w:rPr>
      </w:pPr>
      <w:r>
        <w:rPr>
          <w:rFonts w:hint="eastAsia" w:ascii="宋体" w:hAnsi="宋体" w:cs="宋体"/>
          <w:kern w:val="0"/>
          <w:szCs w:val="32"/>
        </w:rPr>
        <w:t>总体而言各项工作取得了新的进展和成效，但是同时也存在一些问题和不足，主要体现在：</w:t>
      </w:r>
    </w:p>
    <w:p>
      <w:pPr>
        <w:spacing w:line="580" w:lineRule="exact"/>
        <w:ind w:firstLine="643"/>
        <w:jc w:val="left"/>
        <w:rPr>
          <w:rFonts w:hint="eastAsia" w:ascii="宋体" w:hAnsi="宋体" w:cs="宋体"/>
          <w:kern w:val="0"/>
          <w:szCs w:val="32"/>
        </w:rPr>
      </w:pPr>
      <w:r>
        <w:rPr>
          <w:rFonts w:hint="eastAsia" w:ascii="宋体" w:hAnsi="宋体" w:cs="宋体"/>
          <w:kern w:val="0"/>
          <w:szCs w:val="32"/>
        </w:rPr>
        <w:t>（一）在预算完成率方面，存在5%以下的预算资金结余，反映出我单位预算执行力弱化与财政资金配置不够合理的问题。因此，我们将从加强结余资金管理入手，以此作为深化管理的契机，不断加强和改进预算管理工作的层次和水平。</w:t>
      </w:r>
    </w:p>
    <w:p>
      <w:pPr>
        <w:spacing w:line="580" w:lineRule="exact"/>
        <w:ind w:firstLine="643"/>
        <w:jc w:val="left"/>
        <w:rPr>
          <w:rFonts w:hint="eastAsia" w:ascii="宋体" w:hAnsi="宋体" w:cs="宋体"/>
          <w:kern w:val="0"/>
          <w:szCs w:val="32"/>
        </w:rPr>
      </w:pPr>
      <w:r>
        <w:rPr>
          <w:rFonts w:hint="eastAsia" w:ascii="宋体" w:hAnsi="宋体" w:cs="宋体"/>
          <w:kern w:val="0"/>
          <w:szCs w:val="32"/>
        </w:rPr>
        <w:t>（二）在政府采购执行率方面，资产采购的预算不够细化。在今后的工作中，将严谨预算申报工作，加强与业务部门的沟通，尽量把握预算的准确性，提高执行率。</w:t>
      </w:r>
    </w:p>
    <w:p>
      <w:pPr>
        <w:spacing w:line="580" w:lineRule="exact"/>
        <w:ind w:firstLine="643"/>
        <w:jc w:val="left"/>
        <w:rPr>
          <w:rFonts w:hint="eastAsia" w:ascii="宋体" w:hAnsi="宋体" w:cs="宋体"/>
          <w:kern w:val="0"/>
          <w:szCs w:val="32"/>
        </w:rPr>
      </w:pPr>
      <w:r>
        <w:rPr>
          <w:rFonts w:hint="eastAsia" w:ascii="宋体" w:hAnsi="宋体" w:cs="宋体"/>
          <w:kern w:val="0"/>
          <w:szCs w:val="32"/>
        </w:rPr>
        <w:t>（三）在管理制度健全性方面，缺少完善的内部财务管理制度、会计核算制度、厉行节约制度等管理制度。今后将在日常报账工作中不断摸索、认真总结，形成切合单位实际的财务管理制度，并切实有效执行。</w:t>
      </w:r>
    </w:p>
    <w:p>
      <w:pPr>
        <w:spacing w:line="580" w:lineRule="exact"/>
        <w:ind w:firstLine="643"/>
        <w:jc w:val="left"/>
        <w:rPr>
          <w:rFonts w:hint="eastAsia" w:ascii="宋体" w:hAnsi="宋体" w:cs="宋体"/>
          <w:kern w:val="0"/>
          <w:szCs w:val="32"/>
        </w:rPr>
      </w:pPr>
      <w:r>
        <w:rPr>
          <w:rFonts w:hint="eastAsia" w:ascii="宋体" w:hAnsi="宋体" w:cs="宋体"/>
          <w:kern w:val="0"/>
          <w:szCs w:val="32"/>
        </w:rPr>
        <w:t>（四）在资金使用合规性方面，各项目之间的预算经费使用有所混用；各项目经费及机关运行经费中部分资金使用没有严格按照预算的经济分类科目执行。今后将提升预算预见性，并在日常工作中规范执行。</w:t>
      </w:r>
    </w:p>
    <w:p>
      <w:pPr>
        <w:spacing w:line="580" w:lineRule="exact"/>
        <w:ind w:firstLine="643"/>
        <w:jc w:val="left"/>
        <w:rPr>
          <w:rFonts w:hint="eastAsia" w:ascii="宋体" w:hAnsi="宋体" w:cs="宋体"/>
          <w:kern w:val="0"/>
          <w:szCs w:val="32"/>
        </w:rPr>
      </w:pPr>
    </w:p>
    <w:p>
      <w:pPr>
        <w:spacing w:line="580" w:lineRule="exact"/>
        <w:ind w:firstLine="643"/>
        <w:jc w:val="left"/>
        <w:rPr>
          <w:rFonts w:hint="eastAsia" w:ascii="宋体" w:hAnsi="宋体" w:cs="宋体"/>
          <w:kern w:val="0"/>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76ED0"/>
    <w:rsid w:val="00201B62"/>
    <w:rsid w:val="002427DA"/>
    <w:rsid w:val="00346392"/>
    <w:rsid w:val="0039403D"/>
    <w:rsid w:val="003D34E3"/>
    <w:rsid w:val="003F0953"/>
    <w:rsid w:val="00680664"/>
    <w:rsid w:val="0074706B"/>
    <w:rsid w:val="0096563F"/>
    <w:rsid w:val="00DA2705"/>
    <w:rsid w:val="00DA724C"/>
    <w:rsid w:val="00DE7D30"/>
    <w:rsid w:val="00E044C1"/>
    <w:rsid w:val="00E82EC3"/>
    <w:rsid w:val="00F06314"/>
    <w:rsid w:val="00F33237"/>
    <w:rsid w:val="07F510CF"/>
    <w:rsid w:val="22A76ED0"/>
    <w:rsid w:val="27F84239"/>
    <w:rsid w:val="31B94D8E"/>
    <w:rsid w:val="4F79B56A"/>
    <w:rsid w:val="5BFF1EAB"/>
    <w:rsid w:val="7FC712B8"/>
    <w:rsid w:val="FF7E0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518</Words>
  <Characters>2953</Characters>
  <Lines>24</Lines>
  <Paragraphs>6</Paragraphs>
  <TotalTime>2</TotalTime>
  <ScaleCrop>false</ScaleCrop>
  <LinksUpToDate>false</LinksUpToDate>
  <CharactersWithSpaces>3465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2019-10-27T15:40:00Z</dcterms:created>
  <dc:creator>Administrator</dc:creator>
  <cp:lastModifiedBy>向晓彦</cp:lastModifiedBy>
  <dcterms:modified xsi:type="dcterms:W3CDTF">2021-05-27T07:59:56Z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