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2"/>
        <w:rPr>
          <w:rFonts w:ascii="仿宋" w:hAnsi="仿宋" w:eastAsia="仿宋" w:cs="仿宋"/>
          <w:b/>
          <w:bCs/>
          <w:color w:val="auto"/>
          <w:kern w:val="0"/>
          <w:sz w:val="48"/>
          <w:szCs w:val="48"/>
        </w:rPr>
      </w:pPr>
      <w:r>
        <w:rPr>
          <w:rFonts w:hint="eastAsia" w:ascii="仿宋" w:hAnsi="仿宋" w:eastAsia="仿宋" w:cs="仿宋"/>
          <w:b/>
          <w:bCs/>
          <w:color w:val="auto"/>
          <w:kern w:val="0"/>
          <w:sz w:val="48"/>
          <w:szCs w:val="48"/>
        </w:rPr>
        <w:t>2021年长沙市开福区机关事务中心部门预算</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2"/>
        <w:rPr>
          <w:rFonts w:hint="eastAsia" w:ascii="å¾®è½¯é›…é»‘" w:hAnsi="宋体" w:eastAsia="å¾®è½¯é›…é»‘" w:cs="宋体"/>
          <w:b/>
          <w:bCs/>
          <w:color w:val="auto"/>
          <w:kern w:val="0"/>
          <w:sz w:val="36"/>
          <w:szCs w:val="36"/>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黑体"/>
          <w:bCs/>
          <w:color w:val="auto"/>
          <w:kern w:val="0"/>
          <w:sz w:val="32"/>
          <w:szCs w:val="32"/>
        </w:rPr>
      </w:pPr>
      <w:r>
        <w:rPr>
          <w:rFonts w:eastAsia="黑体"/>
          <w:bCs/>
          <w:color w:val="auto"/>
          <w:kern w:val="0"/>
          <w:sz w:val="32"/>
          <w:szCs w:val="32"/>
        </w:rPr>
        <w:t>目 录</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3" w:firstLineChars="200"/>
        <w:textAlignment w:val="auto"/>
        <w:rPr>
          <w:rFonts w:ascii="黑体" w:hAnsi="黑体" w:eastAsia="黑体" w:cs="黑体"/>
          <w:b/>
          <w:bCs/>
          <w:color w:val="auto"/>
          <w:kern w:val="0"/>
          <w:sz w:val="32"/>
          <w:szCs w:val="32"/>
        </w:rPr>
      </w:pPr>
      <w:r>
        <w:rPr>
          <w:rFonts w:hint="eastAsia" w:ascii="黑体" w:hAnsi="黑体" w:eastAsia="黑体" w:cs="黑体"/>
          <w:b/>
          <w:bCs/>
          <w:color w:val="auto"/>
          <w:kern w:val="0"/>
          <w:sz w:val="32"/>
          <w:szCs w:val="32"/>
        </w:rPr>
        <w:t>2021年部门预算说明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一、部门基本概况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二、部门预算单位构成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三、部门收支总体情况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四、一般公共预算拨款支出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五、政府性基金预算支出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六、其他重要事项的情况说明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七、名词解释</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eastAsia="仿宋_GB2312"/>
          <w:b/>
          <w:bCs/>
          <w:color w:val="auto"/>
          <w:kern w:val="0"/>
          <w:sz w:val="32"/>
          <w:szCs w:val="32"/>
        </w:rPr>
      </w:pPr>
      <w:r>
        <w:rPr>
          <w:rFonts w:hint="eastAsia" w:ascii="黑体" w:hAnsi="黑体" w:eastAsia="黑体" w:cs="黑体"/>
          <w:b/>
          <w:bCs/>
          <w:color w:val="auto"/>
          <w:kern w:val="0"/>
          <w:sz w:val="32"/>
          <w:szCs w:val="32"/>
        </w:rPr>
        <w:t>第二部分 2021年部门预算表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1、部门收支总表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2、部门收入总表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3、部门支出总表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4、财政拨款收支总表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5、一般公共预算支出表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6、一般公共预算基本支出表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7、一般公共预算“三公”经费支出表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8、政府性基金预算支出表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9、国有资本经营预算支出表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10、项目支出绩效目标表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11、整体支出绩效目标表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注：以上部门预算报表中，空表表示本部门无相关收支情况。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1325" w:firstLineChars="300"/>
        <w:jc w:val="left"/>
        <w:textAlignment w:val="auto"/>
        <w:rPr>
          <w:rFonts w:ascii="黑体" w:hAnsi="黑体" w:eastAsia="黑体" w:cs="黑体"/>
          <w:b/>
          <w:color w:val="auto"/>
          <w:kern w:val="0"/>
          <w:sz w:val="44"/>
          <w:szCs w:val="44"/>
        </w:rPr>
      </w:pPr>
      <w:r>
        <w:rPr>
          <w:rFonts w:hint="eastAsia" w:ascii="黑体" w:hAnsi="黑体" w:eastAsia="黑体" w:cs="黑体"/>
          <w:b/>
          <w:color w:val="auto"/>
          <w:kern w:val="0"/>
          <w:sz w:val="44"/>
          <w:szCs w:val="44"/>
        </w:rPr>
        <w:t>第一部分</w:t>
      </w:r>
      <w:r>
        <w:rPr>
          <w:rFonts w:ascii="黑体" w:hAnsi="黑体" w:eastAsia="黑体" w:cs="黑体"/>
          <w:b/>
          <w:color w:val="auto"/>
          <w:kern w:val="0"/>
          <w:sz w:val="44"/>
          <w:szCs w:val="44"/>
        </w:rPr>
        <w:t xml:space="preserve">  </w:t>
      </w:r>
      <w:r>
        <w:rPr>
          <w:rFonts w:hint="eastAsia" w:ascii="黑体" w:hAnsi="黑体" w:eastAsia="黑体" w:cs="黑体"/>
          <w:b/>
          <w:color w:val="auto"/>
          <w:kern w:val="0"/>
          <w:sz w:val="44"/>
          <w:szCs w:val="44"/>
        </w:rPr>
        <w:t>2021年部门预算说明</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ascii="宋体" w:hAnsi="宋体" w:eastAsia="宋体" w:cs="宋体"/>
          <w:color w:val="auto"/>
          <w:kern w:val="0"/>
          <w:szCs w:val="21"/>
        </w:rPr>
      </w:pP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ascii="宋体" w:hAnsi="宋体" w:eastAsia="宋体" w:cs="宋体"/>
          <w:color w:val="auto"/>
          <w:kern w:val="0"/>
          <w:szCs w:val="21"/>
        </w:rPr>
      </w:pPr>
      <w:r>
        <w:rPr>
          <w:rFonts w:eastAsia="黑体"/>
          <w:bCs/>
          <w:color w:val="auto"/>
          <w:kern w:val="0"/>
          <w:sz w:val="32"/>
          <w:szCs w:val="32"/>
        </w:rPr>
        <w:t>一、部门基本概况</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
          <w:color w:val="auto"/>
          <w:kern w:val="0"/>
          <w:sz w:val="32"/>
          <w:szCs w:val="32"/>
        </w:rPr>
      </w:pPr>
      <w:r>
        <w:rPr>
          <w:rFonts w:hint="eastAsia" w:ascii="仿宋" w:hAnsi="仿宋" w:eastAsia="仿宋" w:cs="仿宋"/>
          <w:b/>
          <w:color w:val="auto"/>
          <w:kern w:val="0"/>
          <w:sz w:val="32"/>
          <w:szCs w:val="32"/>
        </w:rPr>
        <w:t>（一）职能职责。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（1）制定区直机关事务工作具体管理办法与规章制度，并组织实施。</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（2）负责区治大院办公用房及办公设施改造、维修、调整、配置、登记等工作；制定办公用房管理制度，设立台账。</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（3）负责区非经营性国有资产监督管理；负责改制企业非经营性国有资产的清查和接收管理工作。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（4）负责机关大院办公区域及公共区域的卫生、物业管理、绿化美化、社会治安综合治理、消防安全、邮电通讯、报刊收发等工作。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（5）负责对机关大院社会化服务单位提供业务指导并进行日常监督与考核；负责机关大院设施设备管理维护及水、电、气供应工作。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（6）负责市、区两级保密信函的传送工作。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（7）负责机关大院工作人员饮食保障工作；承办区委、区政府、人大、政协重要会议及重大活动会议服务、会场布置与管理、会务用餐等工作。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（8）负责公务车辆使用调度、维护维修、年检年审、更新报废、司勤人员管理、交通事故协调等工作。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（9）承办区委、区政府及上级主管部门交办的其他事项。</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
          <w:color w:val="auto"/>
          <w:kern w:val="0"/>
          <w:sz w:val="32"/>
          <w:szCs w:val="32"/>
        </w:rPr>
      </w:pPr>
      <w:r>
        <w:rPr>
          <w:rFonts w:hint="eastAsia" w:ascii="仿宋" w:hAnsi="仿宋" w:eastAsia="仿宋" w:cs="仿宋"/>
          <w:b/>
          <w:color w:val="auto"/>
          <w:kern w:val="0"/>
          <w:sz w:val="32"/>
          <w:szCs w:val="32"/>
        </w:rPr>
        <w:t>（二）机构设置</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color w:val="auto"/>
          <w:kern w:val="0"/>
          <w:sz w:val="32"/>
          <w:szCs w:val="32"/>
        </w:rPr>
      </w:pPr>
      <w:r>
        <w:rPr>
          <w:rFonts w:hint="eastAsia" w:ascii="仿宋" w:hAnsi="仿宋" w:eastAsia="仿宋" w:cs="仿宋"/>
          <w:b/>
          <w:color w:val="auto"/>
          <w:kern w:val="0"/>
          <w:sz w:val="32"/>
          <w:szCs w:val="32"/>
        </w:rPr>
        <w:t>（1）部门设置。</w:t>
      </w:r>
      <w:r>
        <w:rPr>
          <w:rFonts w:hint="eastAsia" w:ascii="仿宋" w:hAnsi="仿宋" w:eastAsia="仿宋" w:cs="仿宋"/>
          <w:bCs/>
          <w:color w:val="auto"/>
          <w:kern w:val="0"/>
          <w:sz w:val="32"/>
          <w:szCs w:val="32"/>
        </w:rPr>
        <w:t>本部门由1个事业单位及0个二级机构组成，二级机构无。为全额拨款事业单位，内设5个科室，分别为办公室（财务）、国有资产管理科、物业保卫科、生活保障科、公务用车管理科。（2）人员情况。本部门事业编制数11人，在职人数36人，其中：在岗人数36人；聘用人员90人（其中食堂临聘人员43人，公车中心临聘人员47人）；离退休人数17人（工资纳入社保发放），其中离休人员0人，退休人员17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bCs/>
          <w:color w:val="auto"/>
          <w:kern w:val="0"/>
          <w:sz w:val="32"/>
          <w:szCs w:val="32"/>
        </w:rPr>
      </w:pPr>
      <w:r>
        <w:rPr>
          <w:rFonts w:hint="eastAsia" w:ascii="黑体" w:hAnsi="黑体" w:eastAsia="黑体" w:cs="黑体"/>
          <w:bCs/>
          <w:color w:val="auto"/>
          <w:kern w:val="0"/>
          <w:sz w:val="32"/>
          <w:szCs w:val="32"/>
        </w:rPr>
        <w:t>二、部门预算单位构成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长沙市开福区机关事务中心只有本级，没有其他预算单位，因此，本部门预算仅含本级预算。</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bCs/>
          <w:color w:val="auto"/>
          <w:kern w:val="0"/>
          <w:sz w:val="32"/>
          <w:szCs w:val="32"/>
        </w:rPr>
      </w:pPr>
      <w:r>
        <w:rPr>
          <w:rFonts w:hint="eastAsia" w:ascii="黑体" w:hAnsi="黑体" w:eastAsia="黑体" w:cs="黑体"/>
          <w:bCs/>
          <w:color w:val="auto"/>
          <w:kern w:val="0"/>
          <w:sz w:val="32"/>
          <w:szCs w:val="32"/>
        </w:rPr>
        <w:t>三、部门收支总体情况</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color w:val="auto"/>
          <w:kern w:val="0"/>
          <w:sz w:val="32"/>
          <w:szCs w:val="32"/>
        </w:rPr>
      </w:pPr>
      <w:r>
        <w:rPr>
          <w:rFonts w:hint="eastAsia" w:ascii="仿宋" w:hAnsi="仿宋" w:eastAsia="仿宋" w:cs="仿宋"/>
          <w:b/>
          <w:color w:val="auto"/>
          <w:kern w:val="0"/>
          <w:sz w:val="32"/>
          <w:szCs w:val="32"/>
        </w:rPr>
        <w:t>（一）收入预算：</w:t>
      </w:r>
      <w:r>
        <w:rPr>
          <w:rFonts w:hint="eastAsia" w:ascii="仿宋" w:hAnsi="仿宋" w:eastAsia="仿宋" w:cs="仿宋"/>
          <w:bCs/>
          <w:color w:val="auto"/>
          <w:kern w:val="0"/>
          <w:sz w:val="32"/>
          <w:szCs w:val="32"/>
        </w:rPr>
        <w:t>包括一般公共预算、政府性基金、国有资本经营预算等财政拨款收入，以及经营收入、事业收入等单位资金。2021年本部门收入预算5531.7万元，其中，一般公共预算拨款5531.7万元，政府性基金预算拨款0万元，国有资本经营预算拨款0万元，纳入专户管理的非税收入0万元。收入较去年增加43.46万元，增长0.79%，主要是工资福利支出增长600.8万元，增长46.79%，原公车管理科临聘人员经费从项目支出调整为基本支出，商品和服务支出增加1.42万元，增长1.59%，对个人和家庭的补助增加12.01万元，增长10.79%，项目支出减少570.78万元，减少14.26%，原因是公车中心人员经费473.47万元调整到基本支出工资福利支出内。</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color w:val="auto"/>
          <w:kern w:val="0"/>
          <w:sz w:val="32"/>
          <w:szCs w:val="32"/>
        </w:rPr>
      </w:pPr>
      <w:r>
        <w:rPr>
          <w:rFonts w:hint="eastAsia" w:ascii="仿宋" w:hAnsi="仿宋" w:eastAsia="仿宋" w:cs="仿宋"/>
          <w:b/>
          <w:color w:val="auto"/>
          <w:kern w:val="0"/>
          <w:sz w:val="32"/>
          <w:szCs w:val="32"/>
        </w:rPr>
        <w:t>（二）支出预算：</w:t>
      </w:r>
      <w:r>
        <w:rPr>
          <w:rFonts w:hint="eastAsia" w:ascii="仿宋" w:hAnsi="仿宋" w:eastAsia="仿宋" w:cs="仿宋"/>
          <w:bCs/>
          <w:color w:val="auto"/>
          <w:kern w:val="0"/>
          <w:sz w:val="32"/>
          <w:szCs w:val="32"/>
        </w:rPr>
        <w:t>2021年本部门支出预算5531.7万元，其中，一般公共服务支出5325.8万元，社会保障和就业支出123.35万元，住房保障支出82.55万元。本年支出预算数比上年增加43.46万元，增长0.79%。支出增加主要是工资福利支出增长600.8万元，增长46.7%，是原公车管理科临聘人员经费从项目支出调整为基本支出；商品和服务支出增加1.42万元，增长1.6%；对个人和家庭的补助增加12.01万元，增长10.8%；项目支出减少570.78万元，减少14.25%，其中公车中心人员经费473.47万元调整到基本支出的工资福利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bCs/>
          <w:color w:val="auto"/>
          <w:kern w:val="0"/>
          <w:sz w:val="32"/>
          <w:szCs w:val="32"/>
        </w:rPr>
      </w:pPr>
      <w:r>
        <w:rPr>
          <w:rFonts w:hint="eastAsia" w:ascii="黑体" w:hAnsi="黑体" w:eastAsia="黑体" w:cs="黑体"/>
          <w:bCs/>
          <w:color w:val="auto"/>
          <w:kern w:val="0"/>
          <w:sz w:val="32"/>
          <w:szCs w:val="32"/>
        </w:rPr>
        <w:t>四、一般公共预算拨款支出预算</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2021年本部门一般公共预算拨款支出预算5531.7万元，其中，一般公共服务支出5325.8万元，占96.28%；社会保障和就业支出123.35万元，占2.23%；住房保障支出82.55万元，占1.49%。具体安排情况如下：</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color w:val="auto"/>
          <w:kern w:val="0"/>
          <w:sz w:val="32"/>
          <w:szCs w:val="32"/>
        </w:rPr>
      </w:pPr>
      <w:r>
        <w:rPr>
          <w:rFonts w:hint="eastAsia" w:ascii="仿宋" w:hAnsi="仿宋" w:eastAsia="仿宋" w:cs="仿宋"/>
          <w:b/>
          <w:color w:val="auto"/>
          <w:kern w:val="0"/>
          <w:sz w:val="32"/>
          <w:szCs w:val="32"/>
        </w:rPr>
        <w:t>（一）基本支出：</w:t>
      </w:r>
      <w:r>
        <w:rPr>
          <w:rFonts w:hint="eastAsia" w:ascii="仿宋" w:hAnsi="仿宋" w:eastAsia="仿宋" w:cs="仿宋"/>
          <w:bCs/>
          <w:color w:val="auto"/>
          <w:kern w:val="0"/>
          <w:sz w:val="32"/>
          <w:szCs w:val="32"/>
        </w:rPr>
        <w:t>2021年本部门基本支出预算数2099万元，主要是为保障部门正常运转、完成日常工作任务而发生的各项支出，包括用于基本工资、津贴补贴等人员经费以及办公费、印刷费、水电费、办公设备购置等日常公用经费。</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color w:val="auto"/>
          <w:kern w:val="0"/>
          <w:sz w:val="32"/>
          <w:szCs w:val="32"/>
        </w:rPr>
      </w:pPr>
      <w:r>
        <w:rPr>
          <w:rFonts w:hint="eastAsia" w:ascii="仿宋" w:hAnsi="仿宋" w:eastAsia="仿宋" w:cs="仿宋"/>
          <w:b/>
          <w:color w:val="auto"/>
          <w:kern w:val="0"/>
          <w:sz w:val="32"/>
          <w:szCs w:val="32"/>
        </w:rPr>
        <w:t>（二）项目支出：</w:t>
      </w:r>
      <w:r>
        <w:rPr>
          <w:rFonts w:hint="eastAsia" w:ascii="仿宋" w:hAnsi="仿宋" w:eastAsia="仿宋" w:cs="仿宋"/>
          <w:bCs/>
          <w:color w:val="auto"/>
          <w:kern w:val="0"/>
          <w:sz w:val="32"/>
          <w:szCs w:val="32"/>
        </w:rPr>
        <w:t>2021年本部门项目支出预算3432.7万元，主要是部门为完成特定行政工作任务或事业发展目标而发生的支出，包括有关事业发展专项、专项业务费、基本建设支出等，其中：</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1、事务性业务专项39.84万元，其中：（1）国资管理和垃圾分类工作经费9.7万元，主要用于做好全区各单位非经营性资产检查，国有非经营性资产处置，资产清查等；推进、指导、协调、监管区内公共机构垃圾分类工作。（2）机关食堂临聘人员经费30.14万元，主要用于食堂临聘人员工作质量考核及体检和服装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2、一般性业务专项3392.86万元，其中：（1）水、电、气及空调能源费590万元，主要用于区机关大院水、电和天然气费用支出及空调能源服务费；（2）大院及东风路综合楼物业管理费645.66万元，主要用于机关大院和东风路综合楼物业管理；（3）大院日常性维修34.2万元，主要用于机关大院内墙体粉刷、设备设施日常维修，设备设施年度保养及年检维护等；（4）食堂及大楼低值易耗品38万元，主要用于购买机关食堂餐具、洗洁精、卫生用品等低值易耗品和机关大楼卫生间用品和用纸；（5）公车运行经费及购置经费3</w:t>
      </w:r>
      <w:r>
        <w:rPr>
          <w:rFonts w:hint="eastAsia" w:ascii="仿宋" w:hAnsi="仿宋" w:eastAsia="仿宋" w:cs="仿宋"/>
          <w:bCs/>
          <w:color w:val="auto"/>
          <w:kern w:val="0"/>
          <w:sz w:val="32"/>
          <w:szCs w:val="32"/>
          <w:lang w:val="en-US" w:eastAsia="zh-CN"/>
        </w:rPr>
        <w:t>59.3</w:t>
      </w:r>
      <w:bookmarkStart w:id="0" w:name="_GoBack"/>
      <w:bookmarkEnd w:id="0"/>
      <w:r>
        <w:rPr>
          <w:rFonts w:hint="eastAsia" w:ascii="仿宋" w:hAnsi="仿宋" w:eastAsia="仿宋" w:cs="仿宋"/>
          <w:bCs/>
          <w:color w:val="auto"/>
          <w:kern w:val="0"/>
          <w:sz w:val="32"/>
          <w:szCs w:val="32"/>
        </w:rPr>
        <w:t>万元，其中：车辆运行经费292.3万元</w:t>
      </w: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rPr>
        <w:t>公务用车购置费67万元，主要用于公务用车日常运行维护及购置等；（6）食堂就餐补助1100万元，主要用于机关大院工作人员食堂用餐，每月按照实际使用情况予以申报；（7）机关大院维修专项600万元，主要用于机关大院维修等项目，按实际使用情况予以申报。</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bCs/>
          <w:color w:val="auto"/>
          <w:kern w:val="0"/>
          <w:sz w:val="32"/>
          <w:szCs w:val="32"/>
        </w:rPr>
      </w:pPr>
      <w:r>
        <w:rPr>
          <w:rFonts w:hint="eastAsia" w:ascii="黑体" w:hAnsi="黑体" w:eastAsia="黑体" w:cs="黑体"/>
          <w:bCs/>
          <w:color w:val="auto"/>
          <w:kern w:val="0"/>
          <w:sz w:val="32"/>
          <w:szCs w:val="32"/>
        </w:rPr>
        <w:t>五、政府性基金预算支出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2021年本部门政府性基金支出预算0万元，本部门无政府性基金安排的支出。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bCs/>
          <w:color w:val="auto"/>
          <w:kern w:val="0"/>
          <w:sz w:val="32"/>
          <w:szCs w:val="32"/>
        </w:rPr>
      </w:pPr>
      <w:r>
        <w:rPr>
          <w:rFonts w:hint="eastAsia" w:ascii="黑体" w:hAnsi="黑体" w:eastAsia="黑体" w:cs="黑体"/>
          <w:bCs/>
          <w:color w:val="auto"/>
          <w:kern w:val="0"/>
          <w:sz w:val="32"/>
          <w:szCs w:val="32"/>
        </w:rPr>
        <w:t>六、其他重要事项的情况说明</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color w:val="auto"/>
          <w:kern w:val="0"/>
          <w:sz w:val="32"/>
          <w:szCs w:val="32"/>
        </w:rPr>
      </w:pPr>
      <w:r>
        <w:rPr>
          <w:rFonts w:hint="eastAsia" w:ascii="仿宋" w:hAnsi="仿宋" w:eastAsia="仿宋" w:cs="仿宋"/>
          <w:b/>
          <w:color w:val="auto"/>
          <w:kern w:val="0"/>
          <w:sz w:val="32"/>
          <w:szCs w:val="32"/>
        </w:rPr>
        <w:t>（一）机关运行经费：</w:t>
      </w:r>
      <w:r>
        <w:rPr>
          <w:rFonts w:hint="eastAsia" w:ascii="仿宋" w:hAnsi="仿宋" w:eastAsia="仿宋" w:cs="仿宋"/>
          <w:bCs/>
          <w:color w:val="auto"/>
          <w:kern w:val="0"/>
          <w:sz w:val="32"/>
          <w:szCs w:val="32"/>
        </w:rPr>
        <w:t>2021年本部门机关运行经费90.73万元，比上年预算增加1.42万元，增加</w:t>
      </w:r>
      <w:r>
        <w:rPr>
          <w:rFonts w:hint="eastAsia" w:ascii="仿宋" w:hAnsi="仿宋" w:eastAsia="仿宋" w:cs="仿宋"/>
          <w:bCs/>
          <w:color w:val="auto"/>
          <w:kern w:val="0"/>
          <w:sz w:val="32"/>
          <w:szCs w:val="32"/>
          <w:highlight w:val="none"/>
        </w:rPr>
        <w:t>1.59%</w:t>
      </w:r>
      <w:r>
        <w:rPr>
          <w:rFonts w:hint="eastAsia" w:ascii="仿宋" w:hAnsi="仿宋" w:eastAsia="仿宋" w:cs="仿宋"/>
          <w:bCs/>
          <w:color w:val="auto"/>
          <w:kern w:val="0"/>
          <w:sz w:val="32"/>
          <w:szCs w:val="32"/>
        </w:rPr>
        <w:t>，主要原因是增加了1人。</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color w:val="auto"/>
          <w:kern w:val="0"/>
          <w:sz w:val="32"/>
          <w:szCs w:val="32"/>
        </w:rPr>
      </w:pPr>
      <w:r>
        <w:rPr>
          <w:rFonts w:hint="eastAsia" w:ascii="仿宋" w:hAnsi="仿宋" w:eastAsia="仿宋" w:cs="仿宋"/>
          <w:b/>
          <w:color w:val="auto"/>
          <w:kern w:val="0"/>
          <w:sz w:val="32"/>
          <w:szCs w:val="32"/>
        </w:rPr>
        <w:t>（二）“三公”经费预算：</w:t>
      </w:r>
      <w:r>
        <w:rPr>
          <w:rFonts w:hint="eastAsia" w:ascii="仿宋" w:hAnsi="仿宋" w:eastAsia="仿宋" w:cs="仿宋"/>
          <w:bCs/>
          <w:color w:val="auto"/>
          <w:kern w:val="0"/>
          <w:sz w:val="32"/>
          <w:szCs w:val="32"/>
        </w:rPr>
        <w:t>2021年本部门“三公”经费预算数为359.7万元，其中，公务接待费0.4万元，公务用车购置及运行费359.3万元（其中，公务用车购置费67万元，公务用车运行费292.3万元），因公出国（境）费0万元。2021年“三公”经费预算较2020年增加249.5万元，增长226.41%，主要原因：2020年公务用车运行维护费放在公车管理中心专项中，因未设置该科目，故该数据未体现在“三公”经费预算表内，实际2020年支出应为410.2万元，2021年359.7万元还减少了50.5万元，减少12.3%的公务用车购置费用。</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color w:val="auto"/>
          <w:kern w:val="0"/>
          <w:sz w:val="32"/>
          <w:szCs w:val="32"/>
        </w:rPr>
      </w:pPr>
      <w:r>
        <w:rPr>
          <w:rFonts w:hint="eastAsia" w:ascii="仿宋" w:hAnsi="仿宋" w:eastAsia="仿宋" w:cs="仿宋"/>
          <w:b/>
          <w:color w:val="auto"/>
          <w:kern w:val="0"/>
          <w:sz w:val="32"/>
          <w:szCs w:val="32"/>
        </w:rPr>
        <w:t>（三）一般性支出情况：</w:t>
      </w:r>
      <w:r>
        <w:rPr>
          <w:rFonts w:hint="eastAsia" w:ascii="仿宋" w:hAnsi="仿宋" w:eastAsia="仿宋" w:cs="仿宋"/>
          <w:bCs/>
          <w:color w:val="auto"/>
          <w:kern w:val="0"/>
          <w:sz w:val="32"/>
          <w:szCs w:val="32"/>
        </w:rPr>
        <w:t>2021本部门会议费预算0万元，无会议费支出；培训费预算0万元，无培训费支出；无举办节庆、晚会、论坛、赛事等活动的安排。</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color w:val="auto"/>
          <w:kern w:val="0"/>
          <w:sz w:val="32"/>
          <w:szCs w:val="32"/>
        </w:rPr>
      </w:pPr>
      <w:r>
        <w:rPr>
          <w:rFonts w:hint="eastAsia" w:ascii="仿宋" w:hAnsi="仿宋" w:eastAsia="仿宋" w:cs="仿宋"/>
          <w:b/>
          <w:color w:val="auto"/>
          <w:kern w:val="0"/>
          <w:sz w:val="32"/>
          <w:szCs w:val="32"/>
        </w:rPr>
        <w:t>（四）政府采购情况：</w:t>
      </w:r>
      <w:r>
        <w:rPr>
          <w:rFonts w:hint="eastAsia" w:ascii="仿宋" w:hAnsi="仿宋" w:eastAsia="仿宋" w:cs="仿宋"/>
          <w:bCs/>
          <w:color w:val="auto"/>
          <w:kern w:val="0"/>
          <w:sz w:val="32"/>
          <w:szCs w:val="32"/>
        </w:rPr>
        <w:t>2021年本部门政府采购预算总额1583.06万元，其中：货物类采购预算400.8万元、工程类采购预算0万元、服务类采购预算1182.26万元。</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color w:val="auto"/>
          <w:kern w:val="0"/>
          <w:sz w:val="32"/>
          <w:szCs w:val="32"/>
        </w:rPr>
      </w:pPr>
      <w:r>
        <w:rPr>
          <w:rFonts w:hint="eastAsia" w:ascii="仿宋" w:hAnsi="仿宋" w:eastAsia="仿宋" w:cs="仿宋"/>
          <w:b/>
          <w:color w:val="auto"/>
          <w:kern w:val="0"/>
          <w:sz w:val="32"/>
          <w:szCs w:val="32"/>
        </w:rPr>
        <w:t>（五）国有资产占有使用及新增资产配置情况：</w:t>
      </w:r>
      <w:r>
        <w:rPr>
          <w:rFonts w:hint="eastAsia" w:ascii="仿宋" w:hAnsi="仿宋" w:eastAsia="仿宋" w:cs="仿宋"/>
          <w:bCs/>
          <w:color w:val="auto"/>
          <w:kern w:val="0"/>
          <w:sz w:val="32"/>
          <w:szCs w:val="32"/>
        </w:rPr>
        <w:t>截至2020年12月底，本部门共有公务用车87辆（此数据为国资管理系统中数据），其中：机要通信用车1辆，应急保障用车0辆，执法执勤用车3辆、特种专业技术用车0辆、其他按照规定配备的公务用车83辆；单位价值50万元以上通用设备3台（套），单价100万元以上专业设备0台。2021年拟新增配置公务用车4辆，其中，机要通信用车0辆，应急保障用车0辆，执法执勤用车0辆、特种专业技术用车0辆、其他按照规定配备的公务用车4辆。新增配备单位价值50万元以上通用设备0台（套），单价100万元以上专业设备0台。</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color w:val="auto"/>
          <w:kern w:val="0"/>
          <w:sz w:val="32"/>
          <w:szCs w:val="32"/>
        </w:rPr>
      </w:pPr>
      <w:r>
        <w:rPr>
          <w:rFonts w:hint="eastAsia" w:ascii="仿宋" w:hAnsi="仿宋" w:eastAsia="仿宋" w:cs="仿宋"/>
          <w:b/>
          <w:color w:val="auto"/>
          <w:kern w:val="0"/>
          <w:sz w:val="32"/>
          <w:szCs w:val="32"/>
        </w:rPr>
        <w:t>（六）预算绩效管理情况：</w:t>
      </w:r>
      <w:r>
        <w:rPr>
          <w:rFonts w:hint="eastAsia" w:ascii="仿宋" w:hAnsi="仿宋" w:eastAsia="仿宋" w:cs="仿宋"/>
          <w:bCs/>
          <w:color w:val="auto"/>
          <w:kern w:val="0"/>
          <w:sz w:val="32"/>
          <w:szCs w:val="32"/>
        </w:rPr>
        <w:t>本部门所有支出实行绩效目标管理。纳入2021年部门整体支出绩效目标的金额为5531.7万元，其中：基本支出2099万元，项目支出3432.7万元，具体绩效目标详见报表。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bCs/>
          <w:color w:val="auto"/>
          <w:kern w:val="0"/>
          <w:sz w:val="32"/>
          <w:szCs w:val="32"/>
        </w:rPr>
      </w:pPr>
      <w:r>
        <w:rPr>
          <w:rFonts w:hint="eastAsia" w:ascii="黑体" w:hAnsi="黑体" w:eastAsia="黑体" w:cs="黑体"/>
          <w:bCs/>
          <w:color w:val="auto"/>
          <w:kern w:val="0"/>
          <w:sz w:val="32"/>
          <w:szCs w:val="32"/>
        </w:rPr>
        <w:t>七、名词解释</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1、一般公共预算拨款收入：指开福区财政当年拨付的资金。</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2、基本支出：指为保障机构正常运转、完成日常工作任务而发生的人员支出和公用支出。</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3、项目支出：指在基本支出之外为完成特定行政任务和事业发展目标所发生的支出。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color w:val="auto"/>
          <w:sz w:val="32"/>
          <w:szCs w:val="32"/>
        </w:rPr>
      </w:pPr>
      <w:r>
        <w:rPr>
          <w:rFonts w:hint="eastAsia" w:ascii="仿宋" w:hAnsi="仿宋" w:eastAsia="仿宋" w:cs="仿宋"/>
          <w:color w:val="auto"/>
          <w:sz w:val="32"/>
          <w:szCs w:val="32"/>
        </w:rPr>
        <w:t>4、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color w:val="auto"/>
          <w:sz w:val="32"/>
          <w:szCs w:val="32"/>
        </w:rPr>
      </w:pPr>
      <w:r>
        <w:rPr>
          <w:rFonts w:hint="eastAsia" w:ascii="仿宋" w:hAnsi="仿宋" w:eastAsia="仿宋" w:cs="仿宋"/>
          <w:color w:val="auto"/>
          <w:sz w:val="32"/>
          <w:szCs w:val="32"/>
        </w:rPr>
        <w:t>5、“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ascii="黑体" w:hAnsi="黑体" w:eastAsia="黑体" w:cs="黑体"/>
          <w:b/>
          <w:bCs/>
          <w:color w:val="auto"/>
          <w:kern w:val="0"/>
          <w:sz w:val="44"/>
          <w:szCs w:val="44"/>
        </w:rPr>
      </w:pPr>
    </w:p>
    <w:p>
      <w:pPr>
        <w:keepNext w:val="0"/>
        <w:keepLines w:val="0"/>
        <w:pageBreakBefore w:val="0"/>
        <w:widowControl/>
        <w:kinsoku/>
        <w:wordWrap/>
        <w:overflowPunct/>
        <w:topLinePunct w:val="0"/>
        <w:autoSpaceDE/>
        <w:autoSpaceDN/>
        <w:bidi w:val="0"/>
        <w:adjustRightInd/>
        <w:snapToGrid/>
        <w:spacing w:line="600" w:lineRule="exact"/>
        <w:ind w:firstLine="883" w:firstLineChars="200"/>
        <w:jc w:val="center"/>
        <w:textAlignment w:val="auto"/>
        <w:rPr>
          <w:rFonts w:ascii="仿宋" w:hAnsi="仿宋" w:eastAsia="仿宋" w:cs="仿宋"/>
          <w:b/>
          <w:color w:val="auto"/>
          <w:kern w:val="0"/>
          <w:sz w:val="36"/>
          <w:szCs w:val="36"/>
        </w:rPr>
      </w:pPr>
      <w:r>
        <w:rPr>
          <w:rFonts w:hint="eastAsia" w:ascii="黑体" w:hAnsi="黑体" w:eastAsia="黑体" w:cs="黑体"/>
          <w:b/>
          <w:color w:val="auto"/>
          <w:kern w:val="0"/>
          <w:sz w:val="44"/>
          <w:szCs w:val="44"/>
        </w:rPr>
        <w:t>第二部分 2021年部门预算表</w:t>
      </w:r>
    </w:p>
    <w:p>
      <w:pPr>
        <w:widowControl/>
        <w:spacing w:before="30" w:after="30" w:line="540" w:lineRule="atLeast"/>
        <w:ind w:firstLine="570"/>
        <w:jc w:val="center"/>
        <w:rPr>
          <w:rFonts w:ascii="宋体" w:hAnsi="宋体" w:eastAsia="宋体" w:cs="宋体"/>
          <w:color w:val="auto"/>
          <w:kern w:val="0"/>
          <w:szCs w:val="21"/>
        </w:rPr>
      </w:pPr>
    </w:p>
    <w:p>
      <w:pPr>
        <w:widowControl/>
        <w:spacing w:line="540" w:lineRule="atLeast"/>
        <w:ind w:firstLine="570"/>
        <w:jc w:val="center"/>
        <w:rPr>
          <w:rFonts w:ascii="宋体" w:hAnsi="宋体" w:eastAsia="宋体" w:cs="宋体"/>
          <w:color w:val="auto"/>
          <w:kern w:val="0"/>
          <w:szCs w:val="21"/>
        </w:rPr>
      </w:pPr>
    </w:p>
    <w:p>
      <w:pPr>
        <w:widowControl/>
        <w:spacing w:line="540" w:lineRule="atLeast"/>
        <w:ind w:firstLine="570"/>
        <w:jc w:val="center"/>
        <w:rPr>
          <w:rFonts w:ascii="宋体" w:hAnsi="宋体" w:eastAsia="宋体" w:cs="宋体"/>
          <w:color w:val="auto"/>
          <w:kern w:val="0"/>
          <w:szCs w:val="21"/>
        </w:rPr>
      </w:pPr>
    </w:p>
    <w:p>
      <w:pPr>
        <w:widowControl/>
        <w:spacing w:line="540" w:lineRule="atLeast"/>
        <w:ind w:firstLine="570"/>
        <w:jc w:val="center"/>
        <w:rPr>
          <w:rFonts w:ascii="宋体" w:hAnsi="宋体" w:eastAsia="宋体" w:cs="宋体"/>
          <w:color w:val="auto"/>
          <w:kern w:val="0"/>
          <w:szCs w:val="21"/>
        </w:rPr>
      </w:pPr>
    </w:p>
    <w:p>
      <w:pPr>
        <w:widowControl/>
        <w:spacing w:line="540" w:lineRule="atLeast"/>
        <w:ind w:firstLine="570"/>
        <w:jc w:val="center"/>
        <w:rPr>
          <w:rFonts w:ascii="宋体" w:hAnsi="宋体" w:eastAsia="宋体" w:cs="宋体"/>
          <w:color w:val="auto"/>
          <w:kern w:val="0"/>
          <w:szCs w:val="21"/>
        </w:rPr>
      </w:pPr>
    </w:p>
    <w:p>
      <w:pPr>
        <w:widowControl/>
        <w:spacing w:line="540" w:lineRule="atLeast"/>
        <w:ind w:firstLine="570"/>
        <w:jc w:val="center"/>
        <w:rPr>
          <w:rFonts w:hint="eastAsia" w:ascii="宋体" w:hAnsi="宋体" w:eastAsia="宋体" w:cs="宋体"/>
          <w:color w:val="auto"/>
          <w:kern w:val="0"/>
          <w:szCs w:val="21"/>
          <w:lang w:eastAsia="zh-CN"/>
        </w:rPr>
      </w:pPr>
    </w:p>
    <w:p>
      <w:pPr>
        <w:pStyle w:val="2"/>
        <w:rPr>
          <w:rFonts w:hint="eastAsia"/>
          <w:lang w:eastAsia="zh-CN"/>
        </w:rPr>
      </w:pPr>
    </w:p>
    <w:p>
      <w:pPr>
        <w:widowControl/>
        <w:spacing w:line="540" w:lineRule="atLeast"/>
        <w:ind w:firstLine="570"/>
        <w:rPr>
          <w:rFonts w:hint="eastAsia" w:ascii="宋体" w:hAnsi="宋体" w:eastAsia="宋体" w:cs="宋体"/>
          <w:color w:val="auto"/>
          <w:kern w:val="0"/>
          <w:szCs w:val="21"/>
          <w:lang w:eastAsia="zh-CN"/>
        </w:rPr>
      </w:pPr>
    </w:p>
    <w:p>
      <w:pPr>
        <w:pStyle w:val="2"/>
        <w:rPr>
          <w:rFonts w:hint="eastAsia"/>
          <w:lang w:eastAsia="zh-CN"/>
        </w:rPr>
      </w:pPr>
    </w:p>
    <w:p>
      <w:pPr>
        <w:widowControl/>
        <w:spacing w:line="540" w:lineRule="atLeast"/>
        <w:ind w:firstLine="570"/>
        <w:jc w:val="center"/>
        <w:rPr>
          <w:rFonts w:ascii="宋体" w:hAnsi="宋体" w:eastAsia="宋体" w:cs="宋体"/>
          <w:color w:val="auto"/>
          <w:kern w:val="0"/>
          <w:szCs w:val="21"/>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å¾®è½¯é›…é»‘">
    <w:altName w:val="宋体"/>
    <w:panose1 w:val="00000000000000000000"/>
    <w:charset w:val="86"/>
    <w:family w:val="roma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A0957C"/>
    <w:multiLevelType w:val="singleLevel"/>
    <w:tmpl w:val="19A0957C"/>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E5OWI4ZTg5ZTgyN2NjYTU3OTEzNDg5YmZmMzhlZDIifQ=="/>
  </w:docVars>
  <w:rsids>
    <w:rsidRoot w:val="00702392"/>
    <w:rsid w:val="001F3901"/>
    <w:rsid w:val="002D6411"/>
    <w:rsid w:val="004B5159"/>
    <w:rsid w:val="00562838"/>
    <w:rsid w:val="006E1E88"/>
    <w:rsid w:val="00702392"/>
    <w:rsid w:val="008F4857"/>
    <w:rsid w:val="009B6886"/>
    <w:rsid w:val="2A0F5C25"/>
    <w:rsid w:val="35A91647"/>
    <w:rsid w:val="52847DEC"/>
    <w:rsid w:val="54CE74E7"/>
    <w:rsid w:val="611539C5"/>
    <w:rsid w:val="6AAC74AB"/>
    <w:rsid w:val="71331CE9"/>
    <w:rsid w:val="7CEC5C0D"/>
    <w:rsid w:val="7E5F6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3"/>
    <w:basedOn w:val="1"/>
    <w:next w:val="1"/>
    <w:link w:val="8"/>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semiHidden/>
    <w:unhideWhenUsed/>
    <w:qFormat/>
    <w:uiPriority w:val="99"/>
    <w:pPr>
      <w:ind w:firstLine="420" w:firstLineChars="100"/>
    </w:pPr>
  </w:style>
  <w:style w:type="paragraph" w:styleId="3">
    <w:name w:val="Body Text"/>
    <w:basedOn w:val="1"/>
    <w:semiHidden/>
    <w:unhideWhenUsed/>
    <w:qFormat/>
    <w:uiPriority w:val="99"/>
    <w:pPr>
      <w:spacing w:after="120" w:afterLines="0" w:afterAutospacing="0"/>
    </w:p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标题 3 Char"/>
    <w:basedOn w:val="7"/>
    <w:link w:val="4"/>
    <w:qFormat/>
    <w:uiPriority w:val="9"/>
    <w:rPr>
      <w:rFonts w:ascii="宋体" w:hAnsi="宋体" w:eastAsia="宋体" w:cs="宋体"/>
      <w:b/>
      <w:bCs/>
      <w:kern w:val="0"/>
      <w:sz w:val="27"/>
      <w:szCs w:val="27"/>
    </w:rPr>
  </w:style>
  <w:style w:type="character" w:customStyle="1" w:styleId="9">
    <w:name w:val="kf_sj"/>
    <w:basedOn w:val="7"/>
    <w:qFormat/>
    <w:uiPriority w:val="0"/>
  </w:style>
  <w:style w:type="character" w:customStyle="1" w:styleId="10">
    <w:name w:val="kf_ly"/>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3402</Words>
  <Characters>3773</Characters>
  <Lines>27</Lines>
  <Paragraphs>7</Paragraphs>
  <TotalTime>27</TotalTime>
  <ScaleCrop>false</ScaleCrop>
  <LinksUpToDate>false</LinksUpToDate>
  <CharactersWithSpaces>3778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2022-06-28T13:13:00Z</dcterms:created>
  <dc:creator>Administrator</dc:creator>
  <cp:lastModifiedBy>admin</cp:lastModifiedBy>
  <cp:lastPrinted>2022-09-01T03:08:17Z</cp:lastPrinted>
  <dcterms:modified xsi:type="dcterms:W3CDTF">2022-09-01T03:11:49Z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C91FAD62103D4FD4AC145CD356B80E85</vt:lpwstr>
  </property>
</Properties>
</file>