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仿宋" w:hAnsi="仿宋" w:eastAsia="仿宋" w:cs="仿宋"/>
          <w:b/>
          <w:bCs/>
          <w:color w:val="auto"/>
          <w:sz w:val="44"/>
          <w:szCs w:val="44"/>
        </w:rPr>
      </w:pPr>
      <w:r>
        <w:rPr>
          <w:rFonts w:hint="eastAsia" w:ascii="仿宋" w:hAnsi="仿宋" w:eastAsia="仿宋" w:cs="仿宋"/>
          <w:b/>
          <w:bCs/>
          <w:color w:val="auto"/>
          <w:sz w:val="44"/>
          <w:szCs w:val="44"/>
        </w:rPr>
        <w:t>2019年度</w:t>
      </w:r>
      <w:r>
        <w:rPr>
          <w:rFonts w:hint="eastAsia" w:ascii="仿宋" w:hAnsi="仿宋" w:eastAsia="仿宋" w:cs="仿宋"/>
          <w:b/>
          <w:bCs/>
          <w:color w:val="auto"/>
          <w:sz w:val="44"/>
          <w:szCs w:val="44"/>
          <w:lang w:eastAsia="zh-CN"/>
        </w:rPr>
        <w:t>部门整体支出</w:t>
      </w:r>
      <w:r>
        <w:rPr>
          <w:rFonts w:hint="eastAsia" w:ascii="仿宋" w:hAnsi="仿宋" w:eastAsia="仿宋" w:cs="仿宋"/>
          <w:b/>
          <w:bCs/>
          <w:color w:val="auto"/>
          <w:sz w:val="44"/>
          <w:szCs w:val="44"/>
        </w:rPr>
        <w:t>绩效</w:t>
      </w:r>
      <w:r>
        <w:rPr>
          <w:rFonts w:hint="eastAsia" w:ascii="仿宋" w:hAnsi="仿宋" w:eastAsia="仿宋" w:cs="仿宋"/>
          <w:b/>
          <w:bCs/>
          <w:color w:val="auto"/>
          <w:sz w:val="44"/>
          <w:szCs w:val="44"/>
          <w:lang w:eastAsia="zh-CN"/>
        </w:rPr>
        <w:t>自评</w:t>
      </w:r>
      <w:r>
        <w:rPr>
          <w:rFonts w:hint="eastAsia" w:ascii="仿宋" w:hAnsi="仿宋" w:eastAsia="仿宋" w:cs="仿宋"/>
          <w:b/>
          <w:bCs/>
          <w:color w:val="auto"/>
          <w:sz w:val="44"/>
          <w:szCs w:val="44"/>
        </w:rPr>
        <w:t>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30" w:lineRule="exact"/>
        <w:ind w:firstLine="643" w:firstLineChars="200"/>
        <w:jc w:val="left"/>
        <w:textAlignment w:val="auto"/>
        <w:rPr>
          <w:rFonts w:hint="eastAsia" w:ascii="仿宋_GB2312" w:hAnsi="华文中宋"/>
          <w:b/>
          <w:bCs/>
          <w:sz w:val="32"/>
          <w:szCs w:val="32"/>
          <w:lang w:eastAsia="zh-CN"/>
        </w:rPr>
      </w:pPr>
      <w:r>
        <w:rPr>
          <w:rFonts w:hint="eastAsia" w:ascii="仿宋_GB2312" w:hAnsi="华文中宋"/>
          <w:b/>
          <w:bCs/>
          <w:sz w:val="32"/>
          <w:szCs w:val="32"/>
          <w:lang w:eastAsia="zh-CN"/>
        </w:rPr>
        <w:t>一、部门整体支出概况</w:t>
      </w:r>
    </w:p>
    <w:p>
      <w:pPr>
        <w:keepNext w:val="0"/>
        <w:keepLines w:val="0"/>
        <w:pageBreakBefore w:val="0"/>
        <w:widowControl w:val="0"/>
        <w:kinsoku/>
        <w:wordWrap/>
        <w:overflowPunct/>
        <w:topLinePunct w:val="0"/>
        <w:autoSpaceDE w:val="0"/>
        <w:autoSpaceDN w:val="0"/>
        <w:bidi w:val="0"/>
        <w:adjustRightInd w:val="0"/>
        <w:snapToGrid/>
        <w:spacing w:line="530" w:lineRule="exact"/>
        <w:ind w:firstLine="643" w:firstLineChars="200"/>
        <w:jc w:val="left"/>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sz w:val="32"/>
          <w:szCs w:val="32"/>
        </w:rPr>
        <w:t>（一）</w:t>
      </w:r>
      <w:r>
        <w:rPr>
          <w:rFonts w:hint="eastAsia" w:ascii="仿宋" w:hAnsi="仿宋" w:eastAsia="仿宋" w:cs="仿宋"/>
          <w:b/>
          <w:bCs/>
          <w:color w:val="auto"/>
          <w:kern w:val="0"/>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00" w:firstLineChars="200"/>
        <w:textAlignment w:val="auto"/>
        <w:rPr>
          <w:rFonts w:hint="eastAsia" w:ascii="仿宋" w:hAnsi="仿宋" w:eastAsia="仿宋" w:cs="仿宋"/>
          <w:b/>
          <w:bCs/>
          <w:sz w:val="30"/>
          <w:szCs w:val="30"/>
        </w:rPr>
      </w:pP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）制定区直机关事务工作具体管理办法与规章制度，并组织实施。（</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）负责区治大院办公用房及办公设施改造、维修、调整、配置、登记等工作；制定办公用房管理制度，设立台账。（</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）负责区非经营性国有资产监督管理；负责改制企业非经营性国有资产的清查和接收管理工作。（</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）负责机关大院办公区域及公共区域的卫生、物业管理、绿化美化、社会治安综合治理、消防安全、邮电通讯、报刊收发等工作。（</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）负责对机关大院社会化服务单位提供业务指导并进行日常监督与考核；负责机关大院设施设备管理维护及水、电、气供应工作。（</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）负责市、区两级保密信函的传送工作。（</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）负责机关大院工作人员饮食保障工作；承办区委、区政府、人大、政协重要会议及重大活动会议服务、会场布置与管理、会务用餐等工作。</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8</w:t>
      </w:r>
      <w:r>
        <w:rPr>
          <w:rFonts w:hint="eastAsia" w:ascii="仿宋" w:hAnsi="仿宋" w:eastAsia="仿宋" w:cs="仿宋"/>
          <w:color w:val="000000"/>
          <w:sz w:val="30"/>
          <w:szCs w:val="30"/>
        </w:rPr>
        <w:t>）负责公务车辆使用调度、维护维修、年检年审、更新报废、司勤人员管理、交通事故协调等工作。（</w:t>
      </w:r>
      <w:r>
        <w:rPr>
          <w:rFonts w:hint="eastAsia" w:ascii="仿宋" w:hAnsi="仿宋" w:eastAsia="仿宋" w:cs="仿宋"/>
          <w:color w:val="000000"/>
          <w:sz w:val="30"/>
          <w:szCs w:val="30"/>
          <w:lang w:val="en-US" w:eastAsia="zh-CN"/>
        </w:rPr>
        <w:t>9</w:t>
      </w:r>
      <w:r>
        <w:rPr>
          <w:rFonts w:hint="eastAsia" w:ascii="仿宋" w:hAnsi="仿宋" w:eastAsia="仿宋" w:cs="仿宋"/>
          <w:color w:val="000000"/>
          <w:sz w:val="30"/>
          <w:szCs w:val="30"/>
        </w:rPr>
        <w:t>）承办区委、区政府及上级主管部门交办其他事项。</w:t>
      </w:r>
    </w:p>
    <w:p>
      <w:pPr>
        <w:keepNext w:val="0"/>
        <w:keepLines w:val="0"/>
        <w:pageBreakBefore w:val="0"/>
        <w:widowControl w:val="0"/>
        <w:kinsoku/>
        <w:wordWrap/>
        <w:overflowPunct/>
        <w:topLinePunct w:val="0"/>
        <w:autoSpaceDE w:val="0"/>
        <w:autoSpaceDN w:val="0"/>
        <w:bidi w:val="0"/>
        <w:adjustRightInd w:val="0"/>
        <w:snapToGrid/>
        <w:spacing w:line="530" w:lineRule="exact"/>
        <w:ind w:firstLine="643" w:firstLineChars="200"/>
        <w:jc w:val="left"/>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（二）机构设置</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开福区机关</w:t>
      </w:r>
      <w:r>
        <w:rPr>
          <w:rFonts w:hint="eastAsia" w:ascii="仿宋" w:hAnsi="仿宋" w:eastAsia="仿宋" w:cs="仿宋"/>
          <w:bCs/>
          <w:sz w:val="32"/>
          <w:szCs w:val="32"/>
          <w:lang w:eastAsia="zh-CN"/>
        </w:rPr>
        <w:t>事务</w:t>
      </w:r>
      <w:r>
        <w:rPr>
          <w:rFonts w:hint="eastAsia" w:ascii="仿宋" w:hAnsi="仿宋" w:eastAsia="仿宋" w:cs="仿宋"/>
          <w:bCs/>
          <w:sz w:val="32"/>
          <w:szCs w:val="32"/>
        </w:rPr>
        <w:t>中心内设机构包括：办公室、国有资产管理科、公共机构节能管理科、物业保卫科、生活保障科、公务用车管理科。</w:t>
      </w:r>
    </w:p>
    <w:p>
      <w:pPr>
        <w:keepNext w:val="0"/>
        <w:keepLines w:val="0"/>
        <w:pageBreakBefore w:val="0"/>
        <w:widowControl w:val="0"/>
        <w:numPr>
          <w:ilvl w:val="0"/>
          <w:numId w:val="0"/>
        </w:numPr>
        <w:kinsoku/>
        <w:wordWrap/>
        <w:overflowPunct/>
        <w:topLinePunct w:val="0"/>
        <w:bidi w:val="0"/>
        <w:snapToGrid/>
        <w:spacing w:line="530" w:lineRule="exact"/>
        <w:ind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（三）人员编制情况</w:t>
      </w:r>
    </w:p>
    <w:p>
      <w:pPr>
        <w:spacing w:line="500" w:lineRule="exact"/>
        <w:ind w:firstLine="600" w:firstLineChars="200"/>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人员情况：</w:t>
      </w:r>
      <w:r>
        <w:rPr>
          <w:rFonts w:hint="eastAsia" w:ascii="仿宋" w:hAnsi="仿宋" w:eastAsia="仿宋" w:cs="仿宋"/>
          <w:bCs/>
          <w:sz w:val="30"/>
          <w:szCs w:val="30"/>
        </w:rPr>
        <w:t>本部门编制数9人，年末实际在职人数35人，其中：在岗人数35人；离退休人数0人，其中离休人员0人，退休人员0人</w:t>
      </w:r>
      <w:r>
        <w:rPr>
          <w:rFonts w:hint="eastAsia" w:ascii="仿宋" w:hAnsi="仿宋" w:eastAsia="仿宋" w:cs="仿宋"/>
          <w:bCs/>
          <w:sz w:val="30"/>
          <w:szCs w:val="30"/>
          <w:lang w:eastAsia="zh-CN"/>
        </w:rPr>
        <w:t>。</w:t>
      </w:r>
    </w:p>
    <w:p>
      <w:pPr>
        <w:keepNext w:val="0"/>
        <w:keepLines w:val="0"/>
        <w:pageBreakBefore w:val="0"/>
        <w:widowControl w:val="0"/>
        <w:numPr>
          <w:ilvl w:val="0"/>
          <w:numId w:val="1"/>
        </w:numPr>
        <w:kinsoku/>
        <w:wordWrap/>
        <w:overflowPunct/>
        <w:topLinePunct w:val="0"/>
        <w:bidi w:val="0"/>
        <w:snapToGrid/>
        <w:spacing w:line="530" w:lineRule="exact"/>
        <w:ind w:firstLine="643" w:firstLineChars="200"/>
        <w:textAlignment w:val="auto"/>
        <w:rPr>
          <w:rFonts w:hint="eastAsia" w:ascii="仿宋_GB2312" w:hAnsi="华文中宋"/>
          <w:b/>
          <w:bCs/>
          <w:sz w:val="32"/>
          <w:szCs w:val="32"/>
          <w:lang w:eastAsia="zh-CN"/>
        </w:rPr>
      </w:pPr>
      <w:r>
        <w:rPr>
          <w:rFonts w:hint="eastAsia" w:ascii="仿宋_GB2312" w:hAnsi="华文中宋"/>
          <w:b/>
          <w:bCs/>
          <w:sz w:val="32"/>
          <w:szCs w:val="32"/>
          <w:lang w:eastAsia="zh-CN"/>
        </w:rPr>
        <w:t>部门整体支出使用及管理情况</w:t>
      </w:r>
    </w:p>
    <w:p>
      <w:pPr>
        <w:keepNext w:val="0"/>
        <w:keepLines w:val="0"/>
        <w:pageBreakBefore w:val="0"/>
        <w:widowControl w:val="0"/>
        <w:numPr>
          <w:ilvl w:val="0"/>
          <w:numId w:val="0"/>
        </w:numPr>
        <w:kinsoku/>
        <w:wordWrap/>
        <w:overflowPunct/>
        <w:topLinePunct w:val="0"/>
        <w:bidi w:val="0"/>
        <w:snapToGrid/>
        <w:spacing w:line="530" w:lineRule="exact"/>
        <w:textAlignment w:val="auto"/>
        <w:rPr>
          <w:rFonts w:hint="eastAsia" w:ascii="仿宋_GB2312" w:hAnsi="华文中宋"/>
          <w:b/>
          <w:bCs/>
          <w:sz w:val="32"/>
          <w:szCs w:val="32"/>
          <w:lang w:eastAsia="zh-CN"/>
        </w:rPr>
      </w:pPr>
      <w:r>
        <w:rPr>
          <w:rFonts w:hint="eastAsia" w:ascii="仿宋" w:hAnsi="仿宋" w:eastAsia="仿宋" w:cs="仿宋"/>
          <w:b w:val="0"/>
          <w:bCs/>
          <w:i w:val="0"/>
          <w:iCs w:val="0"/>
          <w:color w:val="auto"/>
          <w:sz w:val="32"/>
          <w:szCs w:val="32"/>
          <w:lang w:val="en-US" w:eastAsia="zh-CN"/>
        </w:rPr>
        <w:t xml:space="preserve">    </w:t>
      </w:r>
      <w:r>
        <w:rPr>
          <w:rFonts w:hint="eastAsia" w:ascii="仿宋" w:hAnsi="仿宋" w:eastAsia="仿宋" w:cs="仿宋"/>
          <w:i w:val="0"/>
          <w:iCs w:val="0"/>
          <w:color w:val="auto"/>
          <w:sz w:val="32"/>
          <w:szCs w:val="32"/>
        </w:rPr>
        <w:t>2019</w:t>
      </w:r>
      <w:r>
        <w:rPr>
          <w:rFonts w:hint="eastAsia" w:ascii="仿宋" w:hAnsi="仿宋" w:eastAsia="仿宋" w:cs="仿宋"/>
          <w:b w:val="0"/>
          <w:bCs/>
          <w:i w:val="0"/>
          <w:iCs w:val="0"/>
          <w:color w:val="auto"/>
          <w:sz w:val="32"/>
          <w:szCs w:val="32"/>
          <w:lang w:val="en-US" w:eastAsia="zh-CN"/>
        </w:rPr>
        <w:t>年本单位整体支出绩效目标为5155.81万元，其中：基本支出1396.65万元，项目支出3759.16万元。全部实行整体绩支出绩效目标管理，涉及一般公共预算当年财政拨款5155.81万元。2019年实际完成整体支出绩效目标6258.06万元，完成绩效目标的121.4%，其中：基本支出1474.7万元、项目支出4783.36万元。</w:t>
      </w:r>
    </w:p>
    <w:p>
      <w:pPr>
        <w:keepNext w:val="0"/>
        <w:keepLines w:val="0"/>
        <w:pageBreakBefore w:val="0"/>
        <w:widowControl w:val="0"/>
        <w:numPr>
          <w:ilvl w:val="0"/>
          <w:numId w:val="0"/>
        </w:numPr>
        <w:kinsoku/>
        <w:wordWrap/>
        <w:overflowPunct/>
        <w:topLinePunct w:val="0"/>
        <w:bidi w:val="0"/>
        <w:snapToGrid/>
        <w:spacing w:line="530" w:lineRule="exact"/>
        <w:ind w:firstLine="643" w:firstLineChars="200"/>
        <w:textAlignment w:val="auto"/>
        <w:rPr>
          <w:rFonts w:hint="eastAsia" w:ascii="仿宋_GB2312" w:hAnsi="华文中宋"/>
          <w:b/>
          <w:bCs/>
          <w:sz w:val="32"/>
          <w:szCs w:val="32"/>
          <w:lang w:val="en-US" w:eastAsia="zh-CN"/>
        </w:rPr>
      </w:pPr>
      <w:r>
        <w:rPr>
          <w:rFonts w:hint="eastAsia" w:ascii="仿宋_GB2312" w:hAnsi="华文中宋"/>
          <w:b/>
          <w:bCs/>
          <w:sz w:val="32"/>
          <w:szCs w:val="32"/>
          <w:lang w:val="en-US" w:eastAsia="zh-CN"/>
        </w:rPr>
        <w:t>（一）基本支出</w:t>
      </w:r>
    </w:p>
    <w:p>
      <w:pPr>
        <w:pStyle w:val="5"/>
        <w:keepNext w:val="0"/>
        <w:keepLines w:val="0"/>
        <w:pageBreakBefore w:val="0"/>
        <w:kinsoku/>
        <w:wordWrap/>
        <w:overflowPunct/>
        <w:topLinePunct w:val="0"/>
        <w:bidi w:val="0"/>
        <w:snapToGrid/>
        <w:spacing w:line="46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2019</w:t>
      </w:r>
      <w:r>
        <w:rPr>
          <w:rFonts w:ascii="Times New Roman" w:hAnsi="Times New Roman" w:eastAsia="仿宋_GB2312" w:cs="Times New Roman"/>
          <w:color w:val="auto"/>
          <w:sz w:val="32"/>
          <w:szCs w:val="32"/>
        </w:rPr>
        <w:t>年度基本支出</w:t>
      </w:r>
      <w:r>
        <w:rPr>
          <w:rFonts w:hint="eastAsia" w:ascii="Times New Roman" w:hAnsi="Times New Roman" w:eastAsia="仿宋_GB2312" w:cs="Times New Roman"/>
          <w:color w:val="auto"/>
          <w:sz w:val="32"/>
          <w:szCs w:val="32"/>
          <w:lang w:val="en-US" w:eastAsia="zh-CN"/>
        </w:rPr>
        <w:t>1474.7</w:t>
      </w:r>
      <w:r>
        <w:rPr>
          <w:rFonts w:ascii="Times New Roman" w:hAnsi="Times New Roman" w:eastAsia="仿宋_GB2312" w:cs="Times New Roman"/>
          <w:color w:val="auto"/>
          <w:sz w:val="32"/>
          <w:szCs w:val="32"/>
        </w:rPr>
        <w:t>万元，其中：人员经费</w:t>
      </w:r>
      <w:r>
        <w:rPr>
          <w:rFonts w:hint="eastAsia" w:ascii="Times New Roman" w:hAnsi="Times New Roman" w:eastAsia="仿宋_GB2312" w:cs="Times New Roman"/>
          <w:color w:val="auto"/>
          <w:sz w:val="32"/>
          <w:szCs w:val="32"/>
          <w:lang w:val="en-US" w:eastAsia="zh-CN"/>
        </w:rPr>
        <w:t>1408.86</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lang w:val="en-US" w:eastAsia="zh-CN"/>
        </w:rPr>
        <w:t>95.5</w:t>
      </w:r>
      <w:r>
        <w:rPr>
          <w:rFonts w:ascii="Times New Roman" w:hAnsi="Times New Roman" w:eastAsia="仿宋_GB2312" w:cs="Times New Roman"/>
          <w:color w:val="auto"/>
          <w:sz w:val="32"/>
          <w:szCs w:val="32"/>
        </w:rPr>
        <w:t>%,主要包括基本工资、津贴补贴、奖金、</w:t>
      </w:r>
      <w:r>
        <w:rPr>
          <w:rFonts w:hint="eastAsia" w:ascii="Times New Roman" w:hAnsi="Times New Roman" w:eastAsia="仿宋_GB2312" w:cs="Times New Roman"/>
          <w:color w:val="auto"/>
          <w:sz w:val="32"/>
          <w:szCs w:val="32"/>
          <w:lang w:eastAsia="zh-CN"/>
        </w:rPr>
        <w:t>机关事业单位基本养老保险缴费、职工基本医疗保险缴费、公务员医疗补助缴费、其他社会保障缴费、住房公积金、医疗费、其他工资福利支出、生活补助、医疗费补助、奖励金、其他对个人和家庭的补助</w:t>
      </w:r>
      <w:r>
        <w:rPr>
          <w:rFonts w:ascii="Times New Roman" w:hAnsi="Times New Roman" w:eastAsia="仿宋_GB2312" w:cs="Times New Roman"/>
          <w:color w:val="auto"/>
          <w:sz w:val="32"/>
          <w:szCs w:val="32"/>
        </w:rPr>
        <w:t>；公用经费</w:t>
      </w:r>
      <w:r>
        <w:rPr>
          <w:rFonts w:hint="eastAsia" w:ascii="Times New Roman" w:hAnsi="Times New Roman" w:eastAsia="仿宋_GB2312" w:cs="Times New Roman"/>
          <w:color w:val="auto"/>
          <w:sz w:val="32"/>
          <w:szCs w:val="32"/>
          <w:lang w:val="en-US" w:eastAsia="zh-CN"/>
        </w:rPr>
        <w:t>65.84</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lang w:val="en-US" w:eastAsia="zh-CN"/>
        </w:rPr>
        <w:t>4.5</w:t>
      </w:r>
      <w:r>
        <w:rPr>
          <w:rFonts w:ascii="Times New Roman" w:hAnsi="Times New Roman" w:eastAsia="仿宋_GB2312" w:cs="Times New Roman"/>
          <w:color w:val="auto"/>
          <w:sz w:val="32"/>
          <w:szCs w:val="32"/>
        </w:rPr>
        <w:t>%，主要包括办公费、印刷费、</w:t>
      </w:r>
      <w:r>
        <w:rPr>
          <w:rFonts w:hint="eastAsia" w:ascii="Times New Roman" w:hAnsi="Times New Roman" w:eastAsia="仿宋_GB2312" w:cs="Times New Roman"/>
          <w:color w:val="auto"/>
          <w:sz w:val="32"/>
          <w:szCs w:val="32"/>
          <w:lang w:eastAsia="zh-CN"/>
        </w:rPr>
        <w:t>邮电费、差旅费、维修（护）费、培训费、委托业务费、工会经费、公务用车运行维护费、其他交通费用、其他商品和服务支出、办公设备购置。</w:t>
      </w:r>
    </w:p>
    <w:p>
      <w:pPr>
        <w:keepNext w:val="0"/>
        <w:keepLines w:val="0"/>
        <w:pageBreakBefore w:val="0"/>
        <w:widowControl w:val="0"/>
        <w:numPr>
          <w:ilvl w:val="0"/>
          <w:numId w:val="0"/>
        </w:numPr>
        <w:kinsoku/>
        <w:wordWrap/>
        <w:overflowPunct/>
        <w:topLinePunct w:val="0"/>
        <w:bidi w:val="0"/>
        <w:snapToGrid/>
        <w:spacing w:line="530" w:lineRule="exact"/>
        <w:ind w:firstLine="643" w:firstLineChars="200"/>
        <w:textAlignment w:val="auto"/>
        <w:rPr>
          <w:rFonts w:hint="default" w:ascii="仿宋_GB2312" w:hAnsi="华文中宋"/>
          <w:b/>
          <w:bCs/>
          <w:sz w:val="32"/>
          <w:szCs w:val="32"/>
          <w:lang w:val="en-US" w:eastAsia="zh-CN"/>
        </w:rPr>
      </w:pPr>
      <w:r>
        <w:rPr>
          <w:rFonts w:hint="eastAsia" w:ascii="仿宋_GB2312" w:hAnsi="华文中宋"/>
          <w:b/>
          <w:bCs/>
          <w:sz w:val="32"/>
          <w:szCs w:val="32"/>
          <w:lang w:val="en-US" w:eastAsia="zh-CN"/>
        </w:rPr>
        <w:t>（二）项目支出</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2019年项目支出</w:t>
      </w:r>
      <w:bookmarkStart w:id="0" w:name="_GoBack"/>
      <w:bookmarkEnd w:id="0"/>
      <w:r>
        <w:rPr>
          <w:rFonts w:hint="eastAsia" w:ascii="仿宋" w:hAnsi="仿宋" w:eastAsia="仿宋" w:cs="仿宋"/>
          <w:bCs/>
          <w:sz w:val="32"/>
          <w:szCs w:val="32"/>
          <w:lang w:val="en-US" w:eastAsia="zh-CN"/>
        </w:rPr>
        <w:t>实际支出决算4783.36万元，主要是捞刀河税务所办公场所置换经费为财政拨款的税收征收经费专项，未包含在我中心年初预算内。</w:t>
      </w:r>
    </w:p>
    <w:p>
      <w:pPr>
        <w:keepNext w:val="0"/>
        <w:keepLines w:val="0"/>
        <w:pageBreakBefore w:val="0"/>
        <w:widowControl w:val="0"/>
        <w:numPr>
          <w:ilvl w:val="0"/>
          <w:numId w:val="2"/>
        </w:numPr>
        <w:kinsoku/>
        <w:wordWrap/>
        <w:overflowPunct/>
        <w:topLinePunct w:val="0"/>
        <w:bidi w:val="0"/>
        <w:snapToGrid/>
        <w:spacing w:line="530" w:lineRule="exact"/>
        <w:ind w:firstLine="640" w:firstLineChars="200"/>
        <w:textAlignment w:val="auto"/>
        <w:rPr>
          <w:rFonts w:hint="eastAsia" w:ascii="仿宋" w:hAnsi="仿宋" w:eastAsia="仿宋" w:cs="仿宋"/>
          <w:b/>
          <w:bCs w:val="0"/>
          <w:sz w:val="32"/>
          <w:szCs w:val="32"/>
          <w:lang w:val="en-US" w:eastAsia="zh-CN"/>
        </w:rPr>
      </w:pPr>
      <w:r>
        <w:rPr>
          <w:rFonts w:hint="eastAsia" w:ascii="仿宋" w:hAnsi="仿宋" w:eastAsia="仿宋" w:cs="仿宋"/>
          <w:bCs/>
          <w:sz w:val="32"/>
          <w:szCs w:val="32"/>
          <w:lang w:val="en-US" w:eastAsia="zh-CN"/>
        </w:rPr>
        <w:t>事务性业务专项和一般性业务专项实施情况。</w:t>
      </w:r>
      <w:r>
        <w:rPr>
          <w:rFonts w:hint="eastAsia" w:ascii="仿宋" w:hAnsi="仿宋" w:eastAsia="仿宋" w:cs="仿宋"/>
          <w:b/>
          <w:bCs w:val="0"/>
          <w:sz w:val="32"/>
          <w:szCs w:val="32"/>
          <w:lang w:val="en-US" w:eastAsia="zh-CN"/>
        </w:rPr>
        <w:t>1351.6万元</w:t>
      </w:r>
    </w:p>
    <w:p>
      <w:pPr>
        <w:keepNext w:val="0"/>
        <w:keepLines w:val="0"/>
        <w:pageBreakBefore w:val="0"/>
        <w:widowControl w:val="0"/>
        <w:numPr>
          <w:ilvl w:val="0"/>
          <w:numId w:val="0"/>
        </w:numPr>
        <w:kinsoku/>
        <w:wordWrap/>
        <w:overflowPunct/>
        <w:topLinePunct w:val="0"/>
        <w:bidi w:val="0"/>
        <w:snapToGrid/>
        <w:spacing w:line="530" w:lineRule="exact"/>
        <w:ind w:firstLine="640" w:firstLineChars="20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事务性和一般性业务专项为部门专项支出，年初已下达指标到中心账户，主要用于大院及本部门日常开支事务性工作费用，一般按使用进度支付。2019年支出数为1351.6万元，</w:t>
      </w:r>
      <w:r>
        <w:rPr>
          <w:rFonts w:hint="eastAsia" w:ascii="仿宋" w:hAnsi="仿宋" w:eastAsia="仿宋" w:cs="仿宋"/>
          <w:bCs/>
          <w:sz w:val="32"/>
          <w:szCs w:val="32"/>
          <w:lang w:eastAsia="zh-CN"/>
        </w:rPr>
        <w:t>其中：</w:t>
      </w:r>
      <w:r>
        <w:rPr>
          <w:rFonts w:hint="eastAsia" w:ascii="仿宋" w:hAnsi="仿宋" w:eastAsia="仿宋" w:cs="仿宋"/>
          <w:bCs/>
          <w:sz w:val="32"/>
          <w:szCs w:val="32"/>
        </w:rPr>
        <w:t>国资管理</w:t>
      </w:r>
      <w:r>
        <w:rPr>
          <w:rFonts w:hint="eastAsia" w:ascii="仿宋" w:hAnsi="仿宋" w:eastAsia="仿宋" w:cs="仿宋"/>
          <w:bCs/>
          <w:sz w:val="32"/>
          <w:szCs w:val="32"/>
          <w:lang w:eastAsia="zh-CN"/>
        </w:rPr>
        <w:t>和</w:t>
      </w:r>
      <w:r>
        <w:rPr>
          <w:rFonts w:hint="eastAsia" w:ascii="仿宋" w:hAnsi="仿宋" w:eastAsia="仿宋" w:cs="仿宋"/>
          <w:bCs/>
          <w:sz w:val="32"/>
          <w:szCs w:val="32"/>
        </w:rPr>
        <w:t>公共机构节能管理</w:t>
      </w:r>
      <w:r>
        <w:rPr>
          <w:rFonts w:hint="eastAsia" w:ascii="仿宋" w:hAnsi="仿宋" w:eastAsia="仿宋" w:cs="仿宋"/>
          <w:bCs/>
          <w:sz w:val="32"/>
          <w:szCs w:val="32"/>
          <w:lang w:val="en-US" w:eastAsia="zh-CN"/>
        </w:rPr>
        <w:t>15万元</w:t>
      </w:r>
      <w:r>
        <w:rPr>
          <w:rFonts w:hint="eastAsia" w:ascii="仿宋" w:hAnsi="仿宋" w:eastAsia="仿宋" w:cs="仿宋"/>
          <w:bCs/>
          <w:sz w:val="32"/>
          <w:szCs w:val="32"/>
          <w:lang w:eastAsia="zh-CN"/>
        </w:rPr>
        <w:t>；</w:t>
      </w:r>
      <w:r>
        <w:rPr>
          <w:rFonts w:hint="eastAsia" w:ascii="仿宋" w:hAnsi="仿宋" w:eastAsia="仿宋" w:cs="仿宋"/>
          <w:bCs/>
          <w:sz w:val="32"/>
          <w:szCs w:val="32"/>
        </w:rPr>
        <w:t>水、电、气及空调能源费</w:t>
      </w:r>
      <w:r>
        <w:rPr>
          <w:rFonts w:hint="eastAsia" w:ascii="仿宋" w:hAnsi="仿宋" w:eastAsia="仿宋" w:cs="仿宋"/>
          <w:bCs/>
          <w:sz w:val="32"/>
          <w:szCs w:val="32"/>
          <w:lang w:val="en-US" w:eastAsia="zh-CN"/>
        </w:rPr>
        <w:t>560万元</w:t>
      </w:r>
      <w:r>
        <w:rPr>
          <w:rFonts w:hint="eastAsia" w:ascii="仿宋" w:hAnsi="仿宋" w:eastAsia="仿宋" w:cs="仿宋"/>
          <w:bCs/>
          <w:sz w:val="32"/>
          <w:szCs w:val="32"/>
        </w:rPr>
        <w:t>；大院物业管理费</w:t>
      </w:r>
      <w:r>
        <w:rPr>
          <w:rFonts w:hint="eastAsia" w:ascii="仿宋" w:hAnsi="仿宋" w:eastAsia="仿宋" w:cs="仿宋"/>
          <w:bCs/>
          <w:sz w:val="32"/>
          <w:szCs w:val="32"/>
          <w:lang w:val="en-US" w:eastAsia="zh-CN"/>
        </w:rPr>
        <w:t>615.7万元</w:t>
      </w:r>
      <w:r>
        <w:rPr>
          <w:rFonts w:hint="eastAsia" w:ascii="仿宋" w:hAnsi="仿宋" w:eastAsia="仿宋" w:cs="仿宋"/>
          <w:bCs/>
          <w:sz w:val="32"/>
          <w:szCs w:val="32"/>
          <w:lang w:eastAsia="zh-CN"/>
        </w:rPr>
        <w:t>；</w:t>
      </w:r>
      <w:r>
        <w:rPr>
          <w:rFonts w:hint="eastAsia" w:ascii="仿宋" w:hAnsi="仿宋" w:eastAsia="仿宋" w:cs="仿宋"/>
          <w:bCs/>
          <w:sz w:val="32"/>
          <w:szCs w:val="32"/>
        </w:rPr>
        <w:t>大院日常性维修</w:t>
      </w:r>
      <w:r>
        <w:rPr>
          <w:rFonts w:hint="eastAsia" w:ascii="仿宋" w:hAnsi="仿宋" w:eastAsia="仿宋" w:cs="仿宋"/>
          <w:bCs/>
          <w:sz w:val="32"/>
          <w:szCs w:val="32"/>
          <w:lang w:val="en-US" w:eastAsia="zh-CN"/>
        </w:rPr>
        <w:t>36万元</w:t>
      </w:r>
      <w:r>
        <w:rPr>
          <w:rFonts w:hint="eastAsia" w:ascii="仿宋" w:hAnsi="仿宋" w:eastAsia="仿宋" w:cs="仿宋"/>
          <w:bCs/>
          <w:sz w:val="32"/>
          <w:szCs w:val="32"/>
        </w:rPr>
        <w:t>；食堂及大楼低值易耗品</w:t>
      </w:r>
      <w:r>
        <w:rPr>
          <w:rFonts w:hint="eastAsia" w:ascii="仿宋" w:hAnsi="仿宋" w:eastAsia="仿宋" w:cs="仿宋"/>
          <w:bCs/>
          <w:sz w:val="32"/>
          <w:szCs w:val="32"/>
          <w:lang w:val="en-US" w:eastAsia="zh-CN"/>
        </w:rPr>
        <w:t>40万元</w:t>
      </w:r>
      <w:r>
        <w:rPr>
          <w:rFonts w:hint="eastAsia" w:ascii="仿宋" w:hAnsi="仿宋" w:eastAsia="仿宋" w:cs="仿宋"/>
          <w:bCs/>
          <w:sz w:val="32"/>
          <w:szCs w:val="32"/>
        </w:rPr>
        <w:t>；食堂临聘人员工作质量考核奖</w:t>
      </w:r>
      <w:r>
        <w:rPr>
          <w:rFonts w:hint="eastAsia" w:ascii="仿宋" w:hAnsi="仿宋" w:eastAsia="仿宋" w:cs="仿宋"/>
          <w:bCs/>
          <w:sz w:val="32"/>
          <w:szCs w:val="32"/>
          <w:lang w:val="en-US" w:eastAsia="zh-CN"/>
        </w:rPr>
        <w:t>18.7</w:t>
      </w:r>
      <w:r>
        <w:rPr>
          <w:rFonts w:hint="eastAsia" w:ascii="仿宋" w:hAnsi="仿宋" w:eastAsia="仿宋" w:cs="仿宋"/>
          <w:bCs/>
          <w:sz w:val="32"/>
          <w:szCs w:val="32"/>
        </w:rPr>
        <w:t>；食堂工作人员体检及服装费用</w:t>
      </w:r>
      <w:r>
        <w:rPr>
          <w:rFonts w:hint="eastAsia" w:ascii="仿宋" w:hAnsi="仿宋" w:eastAsia="仿宋" w:cs="仿宋"/>
          <w:bCs/>
          <w:sz w:val="32"/>
          <w:szCs w:val="32"/>
          <w:lang w:val="en-US" w:eastAsia="zh-CN"/>
        </w:rPr>
        <w:t>10万元</w:t>
      </w:r>
      <w:r>
        <w:rPr>
          <w:rFonts w:hint="eastAsia" w:ascii="仿宋" w:hAnsi="仿宋" w:eastAsia="仿宋" w:cs="仿宋"/>
          <w:bCs/>
          <w:sz w:val="32"/>
          <w:szCs w:val="32"/>
          <w:lang w:eastAsia="zh-CN"/>
        </w:rPr>
        <w:t>；</w:t>
      </w:r>
      <w:r>
        <w:rPr>
          <w:rFonts w:hint="eastAsia" w:ascii="仿宋" w:hAnsi="仿宋" w:eastAsia="仿宋" w:cs="仿宋"/>
          <w:bCs/>
          <w:sz w:val="32"/>
          <w:szCs w:val="32"/>
        </w:rPr>
        <w:t>东风路综合楼物业管理费</w:t>
      </w:r>
      <w:r>
        <w:rPr>
          <w:rFonts w:hint="eastAsia" w:ascii="仿宋" w:hAnsi="仿宋" w:eastAsia="仿宋" w:cs="仿宋"/>
          <w:bCs/>
          <w:sz w:val="32"/>
          <w:szCs w:val="32"/>
          <w:lang w:val="en-US" w:eastAsia="zh-CN"/>
        </w:rPr>
        <w:t>27.9万元</w:t>
      </w:r>
      <w:r>
        <w:rPr>
          <w:rFonts w:hint="eastAsia" w:ascii="仿宋" w:hAnsi="仿宋" w:eastAsia="仿宋" w:cs="仿宋"/>
          <w:bCs/>
          <w:sz w:val="32"/>
          <w:szCs w:val="32"/>
        </w:rPr>
        <w:t>；机关班车租赁费</w:t>
      </w:r>
      <w:r>
        <w:rPr>
          <w:rFonts w:hint="eastAsia" w:ascii="仿宋" w:hAnsi="仿宋" w:eastAsia="仿宋" w:cs="仿宋"/>
          <w:bCs/>
          <w:sz w:val="32"/>
          <w:szCs w:val="32"/>
          <w:lang w:val="en-US" w:eastAsia="zh-CN"/>
        </w:rPr>
        <w:t>28.3万元。</w:t>
      </w:r>
    </w:p>
    <w:p>
      <w:pPr>
        <w:keepNext w:val="0"/>
        <w:keepLines w:val="0"/>
        <w:pageBreakBefore w:val="0"/>
        <w:widowControl w:val="0"/>
        <w:numPr>
          <w:ilvl w:val="0"/>
          <w:numId w:val="2"/>
        </w:numPr>
        <w:kinsoku/>
        <w:wordWrap/>
        <w:overflowPunct/>
        <w:topLinePunct w:val="0"/>
        <w:bidi w:val="0"/>
        <w:snapToGrid/>
        <w:spacing w:line="530" w:lineRule="exact"/>
        <w:ind w:firstLine="640" w:firstLineChars="20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公共专项实施情况。</w:t>
      </w:r>
      <w:r>
        <w:rPr>
          <w:rFonts w:hint="eastAsia" w:ascii="仿宋" w:hAnsi="仿宋" w:eastAsia="仿宋" w:cs="仿宋"/>
          <w:b/>
          <w:bCs w:val="0"/>
          <w:sz w:val="32"/>
          <w:szCs w:val="32"/>
          <w:lang w:val="en-US" w:eastAsia="zh-CN"/>
        </w:rPr>
        <w:t>2294.76万元</w:t>
      </w:r>
    </w:p>
    <w:p>
      <w:pPr>
        <w:keepNext w:val="0"/>
        <w:keepLines w:val="0"/>
        <w:pageBreakBefore w:val="0"/>
        <w:widowControl w:val="0"/>
        <w:numPr>
          <w:ilvl w:val="0"/>
          <w:numId w:val="0"/>
        </w:numPr>
        <w:kinsoku/>
        <w:wordWrap/>
        <w:overflowPunct/>
        <w:topLinePunct w:val="0"/>
        <w:bidi w:val="0"/>
        <w:snapToGrid/>
        <w:spacing w:line="530" w:lineRule="exact"/>
        <w:ind w:firstLine="56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公共专项由我中心按实际使用情况向区财政申报，区财政按实下拨经费到中心账户支付。2019年支出数为2294.76万元，其中：公务用车管理中心费用868.19万元，主要是临聘人员工资保险507万元、公用经费42.86万元及车辆运行经费318.33万元等（年初已下达预算指标）；公务用车购置费55.7万元，购置了3台公务用车；食堂就餐补助费用870.87万元，为区机关院内职工就餐补助；机关大院维修费用500万元，为大院内基础设施维修改造费用。</w:t>
      </w:r>
    </w:p>
    <w:p>
      <w:pPr>
        <w:keepNext w:val="0"/>
        <w:keepLines w:val="0"/>
        <w:pageBreakBefore w:val="0"/>
        <w:widowControl w:val="0"/>
        <w:numPr>
          <w:ilvl w:val="0"/>
          <w:numId w:val="2"/>
        </w:numPr>
        <w:kinsoku/>
        <w:wordWrap/>
        <w:overflowPunct/>
        <w:topLinePunct w:val="0"/>
        <w:bidi w:val="0"/>
        <w:snapToGrid/>
        <w:spacing w:line="530" w:lineRule="exact"/>
        <w:ind w:left="0" w:leftChars="0"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未包含在年初预算内专项。 </w:t>
      </w:r>
      <w:r>
        <w:rPr>
          <w:rFonts w:hint="eastAsia" w:ascii="仿宋" w:hAnsi="仿宋" w:eastAsia="仿宋" w:cs="仿宋"/>
          <w:b/>
          <w:bCs w:val="0"/>
          <w:sz w:val="32"/>
          <w:szCs w:val="32"/>
          <w:lang w:val="en-US" w:eastAsia="zh-CN"/>
        </w:rPr>
        <w:t>1137万元</w:t>
      </w:r>
    </w:p>
    <w:p>
      <w:pPr>
        <w:keepNext w:val="0"/>
        <w:keepLines w:val="0"/>
        <w:pageBreakBefore w:val="0"/>
        <w:widowControl w:val="0"/>
        <w:numPr>
          <w:ilvl w:val="0"/>
          <w:numId w:val="0"/>
        </w:numPr>
        <w:kinsoku/>
        <w:wordWrap/>
        <w:overflowPunct/>
        <w:topLinePunct w:val="0"/>
        <w:bidi w:val="0"/>
        <w:snapToGrid/>
        <w:spacing w:line="530" w:lineRule="exact"/>
        <w:ind w:firstLine="640" w:firstLineChars="200"/>
        <w:textAlignment w:val="auto"/>
        <w:rPr>
          <w:rFonts w:hint="eastAsia" w:ascii="仿宋_GB2312" w:hAnsi="华文中宋"/>
          <w:b/>
          <w:bCs/>
          <w:sz w:val="32"/>
          <w:szCs w:val="32"/>
          <w:lang w:eastAsia="zh-CN"/>
        </w:rPr>
      </w:pPr>
      <w:r>
        <w:rPr>
          <w:rFonts w:hint="eastAsia" w:ascii="仿宋" w:hAnsi="仿宋" w:eastAsia="仿宋" w:cs="仿宋"/>
          <w:bCs/>
          <w:sz w:val="32"/>
          <w:szCs w:val="32"/>
          <w:lang w:val="en-US" w:eastAsia="zh-CN"/>
        </w:rPr>
        <w:t>部分经费未包含在本中心年初预算内，由区财政根据实际情况下拨，2019年支出数为1137万元，其中捞刀河税务所申请办公场所置换费用1065万元；拆迁经费57万元；提前收回人武部门面补偿费用15万元。</w:t>
      </w:r>
    </w:p>
    <w:p>
      <w:pPr>
        <w:keepNext w:val="0"/>
        <w:keepLines w:val="0"/>
        <w:pageBreakBefore w:val="0"/>
        <w:widowControl w:val="0"/>
        <w:numPr>
          <w:ilvl w:val="0"/>
          <w:numId w:val="3"/>
        </w:numPr>
        <w:kinsoku/>
        <w:wordWrap/>
        <w:overflowPunct/>
        <w:topLinePunct w:val="0"/>
        <w:bidi w:val="0"/>
        <w:snapToGrid/>
        <w:spacing w:line="530" w:lineRule="exact"/>
        <w:ind w:firstLine="643" w:firstLineChars="200"/>
        <w:textAlignment w:val="auto"/>
        <w:rPr>
          <w:rFonts w:hint="eastAsia" w:ascii="仿宋" w:hAnsi="仿宋" w:eastAsia="仿宋" w:cs="仿宋"/>
          <w:b/>
          <w:bCs w:val="0"/>
          <w:sz w:val="32"/>
          <w:szCs w:val="32"/>
          <w:lang w:val="en-US" w:eastAsia="zh-CN"/>
        </w:rPr>
      </w:pPr>
      <w:r>
        <w:rPr>
          <w:rFonts w:hint="eastAsia" w:ascii="仿宋_GB2312" w:hAnsi="华文中宋"/>
          <w:b/>
          <w:bCs/>
          <w:sz w:val="32"/>
          <w:szCs w:val="32"/>
          <w:lang w:eastAsia="zh-CN"/>
        </w:rPr>
        <w:t>部门整体支出组织实施情况</w:t>
      </w:r>
    </w:p>
    <w:p>
      <w:pPr>
        <w:keepNext w:val="0"/>
        <w:keepLines w:val="0"/>
        <w:pageBreakBefore w:val="0"/>
        <w:widowControl w:val="0"/>
        <w:numPr>
          <w:ilvl w:val="0"/>
          <w:numId w:val="0"/>
        </w:numPr>
        <w:kinsoku/>
        <w:wordWrap/>
        <w:overflowPunct/>
        <w:topLinePunct w:val="0"/>
        <w:bidi w:val="0"/>
        <w:snapToGrid/>
        <w:spacing w:line="53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eastAsia="zh-CN"/>
        </w:rPr>
        <w:t>为加强项目资金管理，规范专项资金运作，提高资金使用效率，我中心制定了专项资金管理制度。管理的基本原则是：集中管理、统一使用、以收定支、提高效益。中心财务部门作为本中心项目资金管理的职能部门，负责合理编制年度项目资金预算，统筹安排各项资金，及时、准确反映项目执行情况，进行财务分析，建立健全财务管理制度。负责本中心项目资金付款计划申报及支付日常工作，并接受上级主管部门的检查和监督。</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sz w:val="32"/>
          <w:szCs w:val="32"/>
          <w:lang w:val="en-US" w:eastAsia="zh-CN"/>
        </w:rPr>
        <w:t>2019年项目资金预算分配。</w:t>
      </w:r>
      <w:r>
        <w:rPr>
          <w:rFonts w:hint="eastAsia" w:ascii="仿宋" w:hAnsi="仿宋" w:eastAsia="仿宋" w:cs="仿宋"/>
          <w:bCs/>
          <w:sz w:val="32"/>
          <w:szCs w:val="32"/>
          <w:lang w:val="en-US" w:eastAsia="zh-CN"/>
        </w:rPr>
        <w:t>2019年项目资金预算3759.16万元。其中：1、</w:t>
      </w:r>
      <w:r>
        <w:rPr>
          <w:rFonts w:hint="eastAsia" w:ascii="仿宋" w:hAnsi="仿宋" w:eastAsia="仿宋" w:cs="仿宋"/>
          <w:bCs/>
          <w:sz w:val="32"/>
          <w:szCs w:val="32"/>
        </w:rPr>
        <w:t>事务性业务专项15万元，</w:t>
      </w:r>
      <w:r>
        <w:rPr>
          <w:rFonts w:hint="eastAsia" w:ascii="仿宋" w:hAnsi="仿宋" w:eastAsia="仿宋" w:cs="仿宋"/>
          <w:bCs/>
          <w:sz w:val="32"/>
          <w:szCs w:val="32"/>
          <w:lang w:eastAsia="zh-CN"/>
        </w:rPr>
        <w:t>用于</w:t>
      </w:r>
      <w:r>
        <w:rPr>
          <w:rFonts w:hint="eastAsia" w:ascii="仿宋" w:hAnsi="仿宋" w:eastAsia="仿宋" w:cs="仿宋"/>
          <w:bCs/>
          <w:sz w:val="32"/>
          <w:szCs w:val="32"/>
        </w:rPr>
        <w:t>国资管理</w:t>
      </w:r>
      <w:r>
        <w:rPr>
          <w:rFonts w:hint="eastAsia" w:ascii="仿宋" w:hAnsi="仿宋" w:eastAsia="仿宋" w:cs="仿宋"/>
          <w:bCs/>
          <w:sz w:val="32"/>
          <w:szCs w:val="32"/>
          <w:lang w:eastAsia="zh-CN"/>
        </w:rPr>
        <w:t>和</w:t>
      </w:r>
      <w:r>
        <w:rPr>
          <w:rFonts w:hint="eastAsia" w:ascii="仿宋" w:hAnsi="仿宋" w:eastAsia="仿宋" w:cs="仿宋"/>
          <w:bCs/>
          <w:sz w:val="32"/>
          <w:szCs w:val="32"/>
        </w:rPr>
        <w:t>公共机构节能管理。</w:t>
      </w:r>
      <w:r>
        <w:rPr>
          <w:rFonts w:hint="eastAsia" w:ascii="仿宋" w:hAnsi="仿宋" w:eastAsia="仿宋" w:cs="仿宋"/>
          <w:bCs/>
          <w:sz w:val="32"/>
          <w:szCs w:val="32"/>
          <w:lang w:val="en-US" w:eastAsia="zh-CN"/>
        </w:rPr>
        <w:t>2、</w:t>
      </w:r>
      <w:r>
        <w:rPr>
          <w:rFonts w:hint="eastAsia" w:ascii="仿宋" w:hAnsi="仿宋" w:eastAsia="仿宋" w:cs="仿宋"/>
          <w:bCs/>
          <w:sz w:val="32"/>
          <w:szCs w:val="32"/>
        </w:rPr>
        <w:t>一般性业务专项1338.16万元，</w:t>
      </w:r>
      <w:r>
        <w:rPr>
          <w:rFonts w:hint="eastAsia" w:ascii="仿宋" w:hAnsi="仿宋" w:eastAsia="仿宋" w:cs="仿宋"/>
          <w:bCs/>
          <w:sz w:val="32"/>
          <w:szCs w:val="32"/>
          <w:lang w:eastAsia="zh-CN"/>
        </w:rPr>
        <w:t>主要用于</w:t>
      </w:r>
      <w:r>
        <w:rPr>
          <w:rFonts w:hint="eastAsia" w:ascii="仿宋" w:hAnsi="仿宋" w:eastAsia="仿宋" w:cs="仿宋"/>
          <w:bCs/>
          <w:sz w:val="32"/>
          <w:szCs w:val="32"/>
        </w:rPr>
        <w:t>水、电、气及空调能源费；大院物业管理费</w:t>
      </w:r>
      <w:r>
        <w:rPr>
          <w:rFonts w:hint="eastAsia" w:ascii="仿宋" w:hAnsi="仿宋" w:eastAsia="仿宋" w:cs="仿宋"/>
          <w:bCs/>
          <w:sz w:val="32"/>
          <w:szCs w:val="32"/>
          <w:lang w:eastAsia="zh-CN"/>
        </w:rPr>
        <w:t>；</w:t>
      </w:r>
      <w:r>
        <w:rPr>
          <w:rFonts w:hint="eastAsia" w:ascii="仿宋" w:hAnsi="仿宋" w:eastAsia="仿宋" w:cs="仿宋"/>
          <w:bCs/>
          <w:sz w:val="32"/>
          <w:szCs w:val="32"/>
        </w:rPr>
        <w:t>大院日常性维修；食堂及大楼低值易耗品；食堂临聘人员工作质量考核奖；食堂工作人员体检及服装费用</w:t>
      </w:r>
      <w:r>
        <w:rPr>
          <w:rFonts w:hint="eastAsia" w:ascii="仿宋" w:hAnsi="仿宋" w:eastAsia="仿宋" w:cs="仿宋"/>
          <w:bCs/>
          <w:sz w:val="32"/>
          <w:szCs w:val="32"/>
          <w:lang w:eastAsia="zh-CN"/>
        </w:rPr>
        <w:t>；</w:t>
      </w:r>
      <w:r>
        <w:rPr>
          <w:rFonts w:hint="eastAsia" w:ascii="仿宋" w:hAnsi="仿宋" w:eastAsia="仿宋" w:cs="仿宋"/>
          <w:bCs/>
          <w:sz w:val="32"/>
          <w:szCs w:val="32"/>
        </w:rPr>
        <w:t>东风路综合楼物业管理费；机关班车租赁费。</w:t>
      </w:r>
      <w:r>
        <w:rPr>
          <w:rFonts w:hint="eastAsia" w:ascii="仿宋" w:hAnsi="仿宋" w:eastAsia="仿宋" w:cs="仿宋"/>
          <w:bCs/>
          <w:sz w:val="32"/>
          <w:szCs w:val="32"/>
          <w:lang w:val="en-US" w:eastAsia="zh-CN"/>
        </w:rPr>
        <w:t>3、</w:t>
      </w:r>
      <w:r>
        <w:rPr>
          <w:rFonts w:hint="eastAsia" w:ascii="仿宋" w:hAnsi="仿宋" w:eastAsia="仿宋" w:cs="仿宋"/>
          <w:bCs/>
          <w:sz w:val="32"/>
          <w:szCs w:val="32"/>
        </w:rPr>
        <w:t>公共专项2406万元，主要用于公务用车管理中心人员、日常公用及公务用车运行维护等</w:t>
      </w:r>
      <w:r>
        <w:rPr>
          <w:rFonts w:hint="eastAsia" w:ascii="仿宋" w:hAnsi="仿宋" w:eastAsia="仿宋" w:cs="仿宋"/>
          <w:bCs/>
          <w:sz w:val="32"/>
          <w:szCs w:val="32"/>
          <w:lang w:eastAsia="zh-CN"/>
        </w:rPr>
        <w:t>；</w:t>
      </w:r>
      <w:r>
        <w:rPr>
          <w:rFonts w:hint="eastAsia" w:ascii="仿宋" w:hAnsi="仿宋" w:eastAsia="仿宋" w:cs="仿宋"/>
          <w:bCs/>
          <w:sz w:val="32"/>
          <w:szCs w:val="32"/>
        </w:rPr>
        <w:t>公务用车购置费；食堂就餐补助918万元</w:t>
      </w:r>
      <w:r>
        <w:rPr>
          <w:rFonts w:hint="eastAsia" w:ascii="仿宋" w:hAnsi="仿宋" w:eastAsia="仿宋" w:cs="仿宋"/>
          <w:bCs/>
          <w:sz w:val="32"/>
          <w:szCs w:val="32"/>
          <w:lang w:eastAsia="zh-CN"/>
        </w:rPr>
        <w:t>；机</w:t>
      </w:r>
      <w:r>
        <w:rPr>
          <w:rFonts w:hint="eastAsia" w:ascii="仿宋" w:hAnsi="仿宋" w:eastAsia="仿宋" w:cs="仿宋"/>
          <w:bCs/>
          <w:sz w:val="32"/>
          <w:szCs w:val="32"/>
        </w:rPr>
        <w:t>关大院维修。</w:t>
      </w:r>
    </w:p>
    <w:p>
      <w:pPr>
        <w:keepNext w:val="0"/>
        <w:keepLines w:val="0"/>
        <w:pageBreakBefore w:val="0"/>
        <w:widowControl w:val="0"/>
        <w:numPr>
          <w:ilvl w:val="0"/>
          <w:numId w:val="0"/>
        </w:numPr>
        <w:kinsoku/>
        <w:wordWrap/>
        <w:overflowPunct/>
        <w:topLinePunct w:val="0"/>
        <w:bidi w:val="0"/>
        <w:snapToGrid/>
        <w:spacing w:line="530" w:lineRule="exact"/>
        <w:ind w:firstLine="643" w:firstLineChars="200"/>
        <w:textAlignment w:val="auto"/>
        <w:rPr>
          <w:rFonts w:hint="eastAsia" w:ascii="仿宋_GB2312" w:hAnsi="华文中宋"/>
          <w:b/>
          <w:bCs/>
          <w:sz w:val="32"/>
          <w:szCs w:val="32"/>
          <w:lang w:eastAsia="zh-CN"/>
        </w:rPr>
      </w:pPr>
      <w:r>
        <w:rPr>
          <w:rFonts w:hint="eastAsia" w:ascii="仿宋_GB2312" w:hAnsi="华文中宋"/>
          <w:b/>
          <w:bCs/>
          <w:sz w:val="32"/>
          <w:szCs w:val="32"/>
          <w:lang w:eastAsia="zh-CN"/>
        </w:rPr>
        <w:t>四、部门整体支出绩效情况</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1、工资福利等基本支出按月发放，办公经费等按实际客气使用。按时支付大院物业管理费；水、电、气及天然气费用等，保障大院内正常办公需求，营造舒适、整洁、有序的办公环境。</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通过对</w:t>
      </w:r>
      <w:r>
        <w:rPr>
          <w:rFonts w:hint="eastAsia" w:ascii="仿宋" w:hAnsi="仿宋" w:eastAsia="仿宋" w:cs="仿宋"/>
          <w:sz w:val="32"/>
          <w:szCs w:val="32"/>
          <w:lang w:eastAsia="zh-CN"/>
        </w:rPr>
        <w:t>区政府大院内</w:t>
      </w:r>
      <w:r>
        <w:rPr>
          <w:rFonts w:hint="eastAsia" w:ascii="仿宋" w:hAnsi="仿宋" w:eastAsia="仿宋" w:cs="仿宋"/>
          <w:sz w:val="32"/>
          <w:szCs w:val="32"/>
        </w:rPr>
        <w:t>各项设备设施的维修改造，有效杜绝了机关大院安全隐患，加强了防控力度，大大改善和美化了大院办公环境，提升了政府机关办公形象，机关工作人员综合满意度较高。</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区机关食堂以提高职工就餐满意为宗旨，提高服务质量，丰富了早餐品质并改善了中餐口味；不断规范内部管理，细化工作流程，严格对照食堂管理制度和岗位职责；择优选择优质食材供应商，不定期对原材料进行抽样检测严把食品安全关。机关食堂就餐环境整洁美观，食堂菜品丰富，干部职工满意度高。</w:t>
      </w:r>
    </w:p>
    <w:p>
      <w:pPr>
        <w:keepNext w:val="0"/>
        <w:keepLines w:val="0"/>
        <w:pageBreakBefore w:val="0"/>
        <w:widowControl w:val="0"/>
        <w:kinsoku/>
        <w:wordWrap/>
        <w:overflowPunct/>
        <w:topLinePunct w:val="0"/>
        <w:bidi w:val="0"/>
        <w:snapToGrid/>
        <w:spacing w:line="530" w:lineRule="exact"/>
        <w:ind w:firstLine="480" w:firstLineChars="150"/>
        <w:textAlignment w:val="auto"/>
        <w:rPr>
          <w:rFonts w:hint="eastAsia" w:ascii="仿宋_GB2312" w:hAnsi="华文中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、合理有效配置公车用车资源，创新公务交通分类保障方式，建立新型公务用车综合保障服务平台，确保公务出行便捷合理、交通费用节约可控、车辆管理透明规范、监督检查科学有效。</w:t>
      </w:r>
    </w:p>
    <w:p>
      <w:pPr>
        <w:keepNext w:val="0"/>
        <w:keepLines w:val="0"/>
        <w:pageBreakBefore w:val="0"/>
        <w:widowControl w:val="0"/>
        <w:numPr>
          <w:ilvl w:val="0"/>
          <w:numId w:val="0"/>
        </w:numPr>
        <w:kinsoku/>
        <w:wordWrap/>
        <w:overflowPunct/>
        <w:topLinePunct w:val="0"/>
        <w:bidi w:val="0"/>
        <w:snapToGrid/>
        <w:spacing w:line="530" w:lineRule="exact"/>
        <w:ind w:firstLine="643" w:firstLineChars="200"/>
        <w:textAlignment w:val="auto"/>
        <w:rPr>
          <w:rFonts w:hint="eastAsia" w:ascii="仿宋_GB2312" w:hAnsi="华文中宋"/>
          <w:b/>
          <w:bCs/>
          <w:sz w:val="32"/>
          <w:szCs w:val="32"/>
          <w:lang w:eastAsia="zh-CN"/>
        </w:rPr>
      </w:pPr>
      <w:r>
        <w:rPr>
          <w:rFonts w:hint="eastAsia" w:ascii="仿宋_GB2312" w:hAnsi="华文中宋"/>
          <w:b/>
          <w:bCs/>
          <w:sz w:val="32"/>
          <w:szCs w:val="32"/>
          <w:lang w:eastAsia="zh-CN"/>
        </w:rPr>
        <w:t>五、需要说明的问题</w:t>
      </w:r>
    </w:p>
    <w:p>
      <w:pPr>
        <w:keepNext w:val="0"/>
        <w:keepLines w:val="0"/>
        <w:pageBreakBefore w:val="0"/>
        <w:widowControl w:val="0"/>
        <w:kinsoku/>
        <w:wordWrap/>
        <w:overflowPunct/>
        <w:topLinePunct w:val="0"/>
        <w:bidi w:val="0"/>
        <w:snapToGrid/>
        <w:spacing w:line="530" w:lineRule="exact"/>
        <w:ind w:firstLine="0" w:firstLineChars="0"/>
        <w:textAlignment w:val="auto"/>
        <w:rPr>
          <w:rFonts w:hint="eastAsia" w:ascii="仿宋" w:hAnsi="仿宋" w:eastAsia="仿宋" w:cs="仿宋"/>
          <w:sz w:val="32"/>
          <w:szCs w:val="32"/>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机关食堂管理有待进一步加强，规范供应商管理，健全询价机制，加强对就餐补助人数的复核等。因考虑干部职工用餐质量，食堂菜品的售价较低，造成食堂收支不平衡，亏损较多，建议区财政增加预算经费。</w:t>
      </w:r>
    </w:p>
    <w:p>
      <w:pPr>
        <w:keepNext w:val="0"/>
        <w:keepLines w:val="0"/>
        <w:pageBreakBefore w:val="0"/>
        <w:widowControl w:val="0"/>
        <w:kinsoku/>
        <w:wordWrap/>
        <w:overflowPunct/>
        <w:topLinePunct w:val="0"/>
        <w:bidi w:val="0"/>
        <w:snapToGrid/>
        <w:spacing w:line="53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    2、机关大院设备设施都是使用多年，比较陈旧，故维修频率也相对较高，所以维修经费支出较大。</w:t>
      </w:r>
    </w:p>
    <w:p>
      <w:pPr>
        <w:keepNext w:val="0"/>
        <w:keepLines w:val="0"/>
        <w:pageBreakBefore w:val="0"/>
        <w:widowControl w:val="0"/>
        <w:kinsoku/>
        <w:wordWrap/>
        <w:overflowPunct/>
        <w:topLinePunct w:val="0"/>
        <w:bidi w:val="0"/>
        <w:snapToGrid/>
        <w:spacing w:line="530" w:lineRule="exact"/>
        <w:ind w:firstLine="0" w:firstLineChars="0"/>
        <w:textAlignment w:val="auto"/>
        <w:rPr>
          <w:rFonts w:hint="eastAsia" w:ascii="仿宋" w:hAnsi="仿宋" w:eastAsia="仿宋" w:cs="仿宋"/>
          <w:sz w:val="32"/>
          <w:szCs w:val="32"/>
          <w:lang w:eastAsia="zh-CN"/>
        </w:rPr>
        <w:sectPr>
          <w:footerReference r:id="rId3" w:type="default"/>
          <w:pgSz w:w="11906" w:h="16838"/>
          <w:pgMar w:top="1440" w:right="1417" w:bottom="1304" w:left="1417" w:header="851" w:footer="992" w:gutter="0"/>
          <w:pgNumType w:fmt="decimal"/>
          <w:cols w:space="0" w:num="1"/>
          <w:rtlGutter w:val="0"/>
          <w:docGrid w:linePitch="312" w:charSpace="0"/>
        </w:sectPr>
      </w:pPr>
      <w:r>
        <w:rPr>
          <w:rFonts w:hint="eastAsia" w:ascii="仿宋" w:hAnsi="仿宋" w:eastAsia="仿宋" w:cs="仿宋"/>
          <w:sz w:val="32"/>
          <w:szCs w:val="32"/>
        </w:rPr>
        <w:t xml:space="preserve">    3、公务用车均为使用多年的车辆，维修维护费用较高，需逐步更新公务车辆，以保障正常公务出行需求</w:t>
      </w:r>
      <w:r>
        <w:rPr>
          <w:rFonts w:hint="eastAsia" w:ascii="仿宋" w:hAnsi="仿宋" w:eastAsia="仿宋" w:cs="仿宋"/>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DAD2D7"/>
    <w:multiLevelType w:val="singleLevel"/>
    <w:tmpl w:val="E3DAD2D7"/>
    <w:lvl w:ilvl="0" w:tentative="0">
      <w:start w:val="3"/>
      <w:numFmt w:val="chineseCounting"/>
      <w:suff w:val="nothing"/>
      <w:lvlText w:val="%1、"/>
      <w:lvlJc w:val="left"/>
      <w:rPr>
        <w:rFonts w:hint="eastAsia"/>
      </w:rPr>
    </w:lvl>
  </w:abstractNum>
  <w:abstractNum w:abstractNumId="1">
    <w:nsid w:val="E51D0F5C"/>
    <w:multiLevelType w:val="singleLevel"/>
    <w:tmpl w:val="E51D0F5C"/>
    <w:lvl w:ilvl="0" w:tentative="0">
      <w:start w:val="2"/>
      <w:numFmt w:val="chineseCounting"/>
      <w:suff w:val="nothing"/>
      <w:lvlText w:val="%1、"/>
      <w:lvlJc w:val="left"/>
      <w:rPr>
        <w:rFonts w:hint="eastAsia"/>
      </w:rPr>
    </w:lvl>
  </w:abstractNum>
  <w:abstractNum w:abstractNumId="2">
    <w:nsid w:val="3E6CF7CB"/>
    <w:multiLevelType w:val="singleLevel"/>
    <w:tmpl w:val="3E6CF7C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36289"/>
    <w:rsid w:val="08250604"/>
    <w:rsid w:val="0AEC129B"/>
    <w:rsid w:val="0DCF372A"/>
    <w:rsid w:val="1DB638F5"/>
    <w:rsid w:val="208624F1"/>
    <w:rsid w:val="25726E50"/>
    <w:rsid w:val="2709277F"/>
    <w:rsid w:val="2A2D1163"/>
    <w:rsid w:val="3E395AA8"/>
    <w:rsid w:val="57445C4D"/>
    <w:rsid w:val="6AA3237B"/>
    <w:rsid w:val="71B6493E"/>
    <w:rsid w:val="73BB0E2C"/>
    <w:rsid w:val="756A4EC6"/>
    <w:rsid w:val="7E296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2021-05-24T04:48:00Z</dcterms:created>
  <dc:creator>admin</dc:creator>
  <cp:lastModifiedBy>admin</cp:lastModifiedBy>
  <dcterms:modified xsi:type="dcterms:W3CDTF">2021-05-25T04:52:07Z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CE74CDC5B4A5412283983315A32C9E8F</vt:lpwstr>
  </property>
</Properties>
</file>