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重点项目绩效自评情况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项目支出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年我单位项目支出预算共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>46.06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万元，包含项目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个，实际支出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>38.3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万元（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业务工作经费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>38.3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万元、政府专项经费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0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万元），涵盖项目</w:t>
      </w:r>
      <w:r>
        <w:rPr>
          <w:rFonts w:hint="eastAsia" w:cs="Times New Roman"/>
          <w:sz w:val="32"/>
          <w:szCs w:val="32"/>
          <w:u w:val="single"/>
          <w:lang w:val="en-US" w:eastAsia="zh-CN"/>
        </w:rPr>
        <w:t>7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具体情况如下：</w:t>
      </w:r>
    </w:p>
    <w:p>
      <w:pPr>
        <w:spacing w:line="660" w:lineRule="exact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金额单位：万元</w:t>
      </w:r>
    </w:p>
    <w:tbl>
      <w:tblPr>
        <w:tblStyle w:val="3"/>
        <w:tblW w:w="990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1813"/>
        <w:gridCol w:w="850"/>
        <w:gridCol w:w="4633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单位名称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项目名称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资金总额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sz w:val="16"/>
                <w:szCs w:val="16"/>
                <w:u w:val="none"/>
                <w:lang w:val="en-US" w:eastAsia="zh-CN" w:bidi="ar-SA"/>
              </w:rPr>
              <w:t>目标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color w:val="00000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eastAsia="宋体" w:cs="宋体"/>
                <w:b/>
                <w:bCs/>
                <w:color w:val="000000"/>
                <w:sz w:val="16"/>
                <w:szCs w:val="16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 xml:space="preserve"> 开福商海采编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10.00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一年两期。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年初预算为项目支出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工商界人士迎春会经费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8.00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1.总结一年工作.2.向工商联执委汇报一年工作情况。3.表彰工商届人士。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年初预算为项目支出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工商联教育培训、维权、调研、活动经费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13.00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1开展“大走访”调研活动收集各方建议意见。2.结合重要节日组织培训、会议活动。3.商事调委会前期准备。4.组织党建活动。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年初预算为项目支出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非公企业服务工作经费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10.00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val="en-US" w:eastAsia="en-US" w:bidi="ar-SA"/>
              </w:rPr>
              <w:t>1.制作会员牌。2.补充保障迎春会表彰工作。3.组织干部、会员企业参与防疫抗疫、帮扶活动。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sz w:val="21"/>
                <w:szCs w:val="21"/>
                <w:u w:val="none"/>
                <w:lang w:val="en-US" w:eastAsia="en-US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年初预算为项目支出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商会商事人民调解委员会工作经费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打造调委会阵地，购买办公设备、家具；保障日常办公需要。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此项为</w:t>
            </w: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年中调增经费，列为项目支出。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残疾人就业保障金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0.66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及时交纳用于残疾人就业的专项资金，配合区域残保金管理工作。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此项为区财政为各部门统一调增项目，年中预算调增时划为项目支出。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区工商联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机关事业单位职业年金缴费支出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5.06</w:t>
            </w:r>
          </w:p>
        </w:tc>
        <w:tc>
          <w:tcPr>
            <w:tcW w:w="4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  <w:lang w:val="en-US" w:eastAsia="zh-CN"/>
              </w:rPr>
              <w:t>及时交纳</w:t>
            </w: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退休人员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职业年金</w:t>
            </w:r>
            <w:r>
              <w:rPr>
                <w:color w:val="000000"/>
                <w:kern w:val="0"/>
                <w:sz w:val="21"/>
                <w:szCs w:val="21"/>
              </w:rPr>
              <w:t>，保障干部职工按时、按程序退休。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此项</w:t>
            </w: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年初预算为项目支出</w:t>
            </w:r>
            <w:r>
              <w:rPr>
                <w:color w:val="000000"/>
                <w:kern w:val="0"/>
                <w:sz w:val="21"/>
                <w:szCs w:val="21"/>
                <w:lang w:val="en-US" w:eastAsia="zh-CN"/>
              </w:rPr>
              <w:t>。实则是人员运行经费，年中预算调整为基本支出。</w:t>
            </w:r>
          </w:p>
        </w:tc>
      </w:tr>
    </w:tbl>
    <w:p>
      <w:pPr>
        <w:spacing w:line="660" w:lineRule="exact"/>
        <w:ind w:firstLine="420" w:firstLineChars="200"/>
        <w:jc w:val="both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0"/>
          <w:sz w:val="21"/>
          <w:szCs w:val="21"/>
        </w:rPr>
        <w:t>注：年初预算项目支出46.06万元，年中调整后项目支出为46.66万元。主要是把</w:t>
      </w:r>
      <w:r>
        <w:rPr>
          <w:rFonts w:hint="eastAsia" w:ascii="Times New Roman" w:hAnsi="Times New Roman" w:eastAsia="仿宋_GB2312" w:cs="仿宋"/>
          <w:color w:val="000000"/>
          <w:kern w:val="0"/>
          <w:sz w:val="21"/>
          <w:szCs w:val="21"/>
          <w:lang w:bidi="ar-SA"/>
        </w:rPr>
        <w:t>机关事业单位职业年金缴费支出5.06万元，调整到了基本支出；年中新增加预算残疾人就业保障金0.66万元</w:t>
      </w:r>
      <w:r>
        <w:rPr>
          <w:rFonts w:ascii="Times New Roman" w:hAnsi="Times New Roman" w:eastAsia="仿宋_GB2312" w:cs="仿宋"/>
          <w:color w:val="000000"/>
          <w:kern w:val="0"/>
          <w:sz w:val="21"/>
          <w:szCs w:val="21"/>
          <w:lang w:bidi="ar-SA"/>
        </w:rPr>
        <w:t>和</w:t>
      </w:r>
      <w:r>
        <w:rPr>
          <w:rFonts w:hint="eastAsia" w:ascii="Times New Roman" w:hAnsi="Times New Roman" w:eastAsia="仿宋_GB2312" w:cs="仿宋"/>
          <w:color w:val="000000"/>
          <w:kern w:val="0"/>
          <w:sz w:val="21"/>
          <w:szCs w:val="21"/>
          <w:lang w:bidi="ar-SA"/>
        </w:rPr>
        <w:t>商会商事人民调解委员会工作经费5万元。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（二）项目绩效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目标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主要包括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项目绩效总目标和阶段性目标，预期主要的经济效益、社会效益、生态效益和可持续影响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  <w:sectPr>
          <w:footerReference r:id="rId3" w:type="default"/>
          <w:footerReference r:id="rId4" w:type="even"/>
          <w:pgSz w:w="11907" w:h="16840"/>
          <w:pgMar w:top="567" w:right="567" w:bottom="567" w:left="1134" w:header="851" w:footer="992" w:gutter="0"/>
          <w:cols w:space="720" w:num="1"/>
          <w:docGrid w:type="lines" w:linePitch="381" w:charSpace="-5735"/>
        </w:sectPr>
      </w:pPr>
    </w:p>
    <w:tbl>
      <w:tblPr>
        <w:tblStyle w:val="3"/>
        <w:tblW w:w="14000" w:type="dxa"/>
        <w:tblInd w:w="-4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980"/>
        <w:gridCol w:w="1127"/>
        <w:gridCol w:w="886"/>
        <w:gridCol w:w="990"/>
        <w:gridCol w:w="990"/>
        <w:gridCol w:w="990"/>
        <w:gridCol w:w="1261"/>
        <w:gridCol w:w="2663"/>
        <w:gridCol w:w="26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资金总额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资金投向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经济效益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社会效益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生态效益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可持续影响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绩效总目标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阶段性目标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编辑《开福商海》杂志经费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</w:rPr>
              <w:t>促进基层商会和行业商会发展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反映非公有制企业和非公有制经济人士利益诉求，维护其合法权益，参与经济纠纷的调解、仲裁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坚持促进“两</w:t>
            </w:r>
            <w:r>
              <w:rPr>
                <w:rFonts w:hint="eastAsia"/>
                <w:sz w:val="18"/>
                <w:szCs w:val="18"/>
              </w:rPr>
              <w:t>个健康”， 坚持服务宗旨，不断提高工商联服务企业的能力和水平。</w:t>
            </w:r>
          </w:p>
        </w:tc>
        <w:tc>
          <w:tcPr>
            <w:tcW w:w="126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/>
                <w:sz w:val="18"/>
                <w:szCs w:val="18"/>
              </w:rPr>
              <w:t>坚持教育引导，推动民营企业更好承担社会责任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1.坚持党的领导，把政治引领作为首要任务，用实际行动深入学习宣传贯彻落实党的十九大精神 2、坚持促进“两个健康”， 坚持服务宗旨，不断提高工商联服务企业的能力和水平。3.坚持教育引导，推动民营企业更好承担社会责任 4.坚持夯实基础，不断增强工商联的凝聚力、影响力、执行力。 </w:t>
            </w:r>
          </w:p>
        </w:tc>
        <w:tc>
          <w:tcPr>
            <w:tcW w:w="26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1.坚持党的领导，把政治引领作为首要任务，用实际行动深入学习宣传贯彻落实党的十九大精神 2、坚持促进“两个健康”， 坚持服务宗旨，不断提高工商联服务企业的能力和水平。3.坚持教育引导，推动民营企业更好承担社会责任 4.坚持夯实基础，不断增强工商联的凝聚力、影响力、执行力。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工商界人士迎春会经费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工商联教育培训、维权、调研、活动经费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非公企业服务工作经费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10.00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商会商事人民调解委员会工作经费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残疾人就业保障金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区工商联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eastAsia="仿宋" w:cs="仿宋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机关事业单位职业年金缴费支出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5.06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区级支付</w:t>
            </w: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6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6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  <w:sectPr>
          <w:pgSz w:w="16840" w:h="11907" w:orient="landscape"/>
          <w:pgMar w:top="1587" w:right="2154" w:bottom="1474" w:left="2041" w:header="851" w:footer="992" w:gutter="0"/>
          <w:cols w:space="720" w:num="1"/>
          <w:docGrid w:type="lines" w:linePitch="381" w:charSpace="-5735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0"/>
        <w:textAlignment w:val="auto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eastAsia="楷体_GB2312" w:cs="Times New Roman"/>
          <w:b w:val="0"/>
          <w:bCs/>
          <w:sz w:val="32"/>
          <w:szCs w:val="32"/>
          <w:lang w:eastAsia="zh-CN"/>
        </w:rPr>
        <w:t>（</w:t>
      </w: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三）</w:t>
      </w: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资金使用管理情况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工商联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肃财经纪律，严格执行财务制度，加强项目资金的管理。严格按照财务管理规定实行收支两条线，经费支出实行申请、审批、报账制，所有经费全部接受纪检、财政部门的监督和管理，把资金用到刀刃上。通过专项资金的使用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助力优化营商环境，促进了“两个健康”发展，推动了民营企业更好承担社会责任，不断增强工商联的凝聚力、影响力、执行力。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Times New Roman"/>
          <w:sz w:val="32"/>
          <w:szCs w:val="32"/>
        </w:rPr>
        <w:t>绩效评价工作情况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坚持党的领导，把政治引领作为首要任务，用实际行动深入学习宣传贯彻落实党的十九大精神 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坚持促进“两个健康”， 坚持服务宗旨，不断提高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工商联服务企业的能力和水平。引导会员积极参加经济建设，促进区域非公有制经济健康发展，促进地区公益事业发展，在会员与政府之间发挥桥梁作用。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640" w:leftChars="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项目支出</w:t>
      </w:r>
      <w:r>
        <w:rPr>
          <w:rFonts w:ascii="Times New Roman" w:hAnsi="Times New Roman" w:eastAsia="黑体" w:cs="Times New Roman"/>
          <w:sz w:val="32"/>
          <w:szCs w:val="32"/>
        </w:rPr>
        <w:t>主要绩效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我单位切实加强财政支出管理，提高财政资金使用效益，较好地实现了预期绩效目标。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5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《开福商海》杂志采编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经费10万元。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完成了一年两期的《开福商海》杂志采编印制发放</w:t>
      </w:r>
      <w:r>
        <w:rPr>
          <w:rFonts w:hint="eastAsia" w:cs="Times New Roman"/>
          <w:sz w:val="32"/>
          <w:szCs w:val="32"/>
          <w:lang w:val="en-US" w:eastAsia="zh-CN" w:bidi="ar-SA"/>
        </w:rPr>
        <w:t>2000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，通过宣传开福区营商环境、区域民营企业家，促进开福区非公有制经济和非公有制经济人士健康发展。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工商界人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迎春会议8万元。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召开了工商界人士执委会议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并进行了评比表彰，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对</w:t>
      </w:r>
      <w:r>
        <w:rPr>
          <w:rFonts w:hint="eastAsia" w:cs="Times New Roman"/>
          <w:sz w:val="32"/>
          <w:szCs w:val="32"/>
          <w:lang w:val="en-US" w:eastAsia="zh-CN" w:bidi="ar-SA"/>
        </w:rPr>
        <w:t>173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个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项目内容进行了表彰，</w:t>
      </w:r>
      <w:r>
        <w:rPr>
          <w:rFonts w:hint="eastAsia" w:cs="Times New Roman"/>
          <w:sz w:val="32"/>
          <w:szCs w:val="32"/>
          <w:lang w:val="en-US" w:eastAsia="zh-CN" w:bidi="ar-SA"/>
        </w:rPr>
        <w:t>并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制作</w:t>
      </w:r>
      <w:r>
        <w:rPr>
          <w:rFonts w:hint="eastAsia" w:cs="Times New Roman"/>
          <w:sz w:val="32"/>
          <w:szCs w:val="32"/>
          <w:lang w:val="en-US" w:eastAsia="zh-CN" w:bidi="ar-SA"/>
        </w:rPr>
        <w:t>发放了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奖牌，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加强了非公有制经济人士思想政治工作，增强了工商联的凝聚力、影响力、执行力。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工商联教育培训、维权、调研、活动经费13万元。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走访调研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16个街道商会、9家行业商会；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组织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企业</w:t>
      </w:r>
      <w:r>
        <w:rPr>
          <w:rFonts w:hint="eastAsia" w:cs="Times New Roman"/>
          <w:sz w:val="32"/>
          <w:szCs w:val="32"/>
          <w:lang w:val="en-US" w:eastAsia="zh-CN" w:bidi="ar-SA"/>
        </w:rPr>
        <w:t>家参加会议、培训、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学习活动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>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-SA"/>
        </w:rPr>
        <w:t>丰富多样的活动，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-SA"/>
        </w:rPr>
        <w:t xml:space="preserve"> 宣传、贯彻党和国家的方针、政策，加强和改进思想政治工作，教育会员“爱国、敬业、守法”，提高会员素质；引导会员积极参加经济建设，促进区域非公有制经济健康发展，促进地区公益事业发展，在会员与政府之间发挥了桥梁纽带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非公企业服务工作经费10万元。组织</w:t>
      </w:r>
      <w:r>
        <w:rPr>
          <w:rFonts w:hint="eastAsia" w:cs="Times New Roman"/>
          <w:sz w:val="32"/>
          <w:szCs w:val="32"/>
          <w:lang w:val="en-US" w:eastAsia="zh-CN" w:bidi="ar-SA"/>
        </w:rPr>
        <w:t>干部、会员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开展防疫抗疫工作，</w:t>
      </w:r>
      <w:r>
        <w:rPr>
          <w:rFonts w:hint="eastAsia" w:cs="Times New Roman"/>
          <w:sz w:val="32"/>
          <w:szCs w:val="32"/>
          <w:lang w:val="en-US" w:eastAsia="zh-CN" w:bidi="ar-SA"/>
        </w:rPr>
        <w:t>驻守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联点华悦大酒店、汇聚酒店和紫凤社区，购买了防疫物资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。制作并发放了会员牌</w:t>
      </w:r>
      <w:r>
        <w:rPr>
          <w:rFonts w:ascii="Times New Roman" w:hAnsi="Times New Roman" w:cs="Times New Roman"/>
          <w:sz w:val="32"/>
          <w:szCs w:val="32"/>
          <w:lang w:val="en-US" w:eastAsia="zh-CN" w:bidi="ar-SA"/>
        </w:rPr>
        <w:t>150余块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。补充保障</w:t>
      </w:r>
      <w:r>
        <w:rPr>
          <w:rFonts w:ascii="Times New Roman" w:hAnsi="Times New Roman" w:cs="Times New Roman"/>
          <w:sz w:val="32"/>
          <w:szCs w:val="32"/>
          <w:lang w:val="en-US" w:eastAsia="zh-CN" w:bidi="ar-SA"/>
        </w:rPr>
        <w:t>了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工商界人士迎春会议；搭建好政企沟通的桥梁</w:t>
      </w:r>
      <w:r>
        <w:rPr>
          <w:rFonts w:hint="eastAsia" w:cs="Times New Roman"/>
          <w:sz w:val="32"/>
          <w:szCs w:val="32"/>
          <w:lang w:val="en-US" w:eastAsia="zh-CN" w:bidi="ar-SA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 w:bidi="ar-SA"/>
        </w:rPr>
        <w:t>引导会员积极参政议政献言献策。</w:t>
      </w:r>
    </w:p>
    <w:p>
      <w:pPr>
        <w:pStyle w:val="7"/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商会商事人民调解委员会工作经费5万元。成立开福区总商会人民调解委员会，制定《开福区劳动争议多元化解实施细则》，配备商事调解员10名。向区委领导汇报商事调解委员会工作，区法院、司法局、财政局等部门共同参加，解决调委会初建期办公家具、办公设备、日常办公经费。商事调解委员会自3月正式运转以来，对接案卷60起，成功调处25起，标的额264余万元。</w:t>
      </w:r>
    </w:p>
    <w:p>
      <w:pPr>
        <w:pStyle w:val="7"/>
        <w:spacing w:line="600" w:lineRule="exact"/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残疾人就业保障金0.66万元。2月按照区财政局、区税务局有关要求，及时交纳了残保金，配合完成好了残保金管理工作。</w:t>
      </w:r>
    </w:p>
    <w:p>
      <w:pPr>
        <w:pStyle w:val="7"/>
        <w:spacing w:line="600" w:lineRule="exact"/>
        <w:rPr>
          <w:rFonts w:hint="default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机关事业单位职业年金缴费支出5.06万元。年中财政自行调整此项目到基本支出。我联按要求及时完成退休人员职业年金交纳工作，保障干部职工按时、按程序退休。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四、存在的问题</w:t>
      </w:r>
    </w:p>
    <w:p>
      <w:pPr>
        <w:snapToGrid w:val="0"/>
        <w:spacing w:line="520" w:lineRule="exact"/>
        <w:ind w:firstLine="640" w:firstLineChars="200"/>
        <w:rPr>
          <w:rFonts w:hint="eastAsia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商会商事人民调解委员会工作经费，为年末调增经费，在2023年支付剩余部分。</w:t>
      </w:r>
    </w:p>
    <w:p>
      <w:pPr>
        <w:snapToGrid w:val="0"/>
        <w:spacing w:line="520" w:lineRule="exact"/>
        <w:ind w:firstLine="640" w:firstLineChars="200"/>
        <w:rPr>
          <w:rFonts w:hint="default" w:ascii="仿宋" w:eastAsia="仿宋" w:cs="仿宋"/>
          <w:sz w:val="32"/>
          <w:szCs w:val="32"/>
          <w:lang w:val="en-US" w:eastAsia="zh-CN" w:bidi="ar-SA"/>
        </w:rPr>
      </w:pPr>
      <w:r>
        <w:rPr>
          <w:rFonts w:hint="eastAsia" w:ascii="仿宋" w:eastAsia="仿宋" w:cs="仿宋"/>
          <w:sz w:val="32"/>
          <w:szCs w:val="32"/>
          <w:lang w:val="en-US" w:eastAsia="en-US" w:bidi="ar-SA"/>
        </w:rPr>
        <w:t>机关事业单位职业年金缴费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经费</w:t>
      </w:r>
      <w:r>
        <w:rPr>
          <w:rFonts w:hint="eastAsia" w:ascii="仿宋" w:eastAsia="仿宋" w:cs="仿宋"/>
          <w:sz w:val="32"/>
          <w:szCs w:val="32"/>
          <w:lang w:val="en-US" w:eastAsia="en-US" w:bidi="ar-SA"/>
        </w:rPr>
        <w:t>，年初预算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列</w:t>
      </w:r>
      <w:r>
        <w:rPr>
          <w:rFonts w:hint="eastAsia" w:ascii="仿宋" w:eastAsia="仿宋" w:cs="仿宋"/>
          <w:sz w:val="32"/>
          <w:szCs w:val="32"/>
          <w:lang w:val="en-US" w:eastAsia="en-US" w:bidi="ar-SA"/>
        </w:rPr>
        <w:t>为项目支出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，</w:t>
      </w:r>
      <w:r>
        <w:rPr>
          <w:rFonts w:hint="eastAsia" w:ascii="仿宋" w:eastAsia="仿宋" w:cs="仿宋"/>
          <w:sz w:val="32"/>
          <w:szCs w:val="32"/>
          <w:lang w:val="en-US" w:eastAsia="en-US" w:bidi="ar-SA"/>
        </w:rPr>
        <w:t>在年中下拨时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，财政进行了项目</w:t>
      </w:r>
      <w:r>
        <w:rPr>
          <w:rFonts w:hint="eastAsia" w:ascii="仿宋" w:eastAsia="仿宋" w:cs="仿宋"/>
          <w:sz w:val="32"/>
          <w:szCs w:val="32"/>
          <w:lang w:val="en-US" w:eastAsia="en-US" w:bidi="ar-SA"/>
        </w:rPr>
        <w:t>调整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，列</w:t>
      </w:r>
      <w:r>
        <w:rPr>
          <w:rFonts w:hint="eastAsia" w:ascii="仿宋" w:eastAsia="仿宋" w:cs="仿宋"/>
          <w:sz w:val="32"/>
          <w:szCs w:val="32"/>
          <w:lang w:val="en-US" w:eastAsia="en-US" w:bidi="ar-SA"/>
        </w:rPr>
        <w:t>为了基本支出</w:t>
      </w: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，故出现了预算和决算项目差异。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cs="Times New Roman"/>
          <w:sz w:val="32"/>
          <w:szCs w:val="32"/>
          <w:lang w:val="en-US" w:eastAsia="zh-CN"/>
        </w:rPr>
        <w:t>加强与财政对接，做好专项支出和基本支出相关项目资金分配的工作。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六、其他需要说明的问题</w:t>
      </w:r>
    </w:p>
    <w:p>
      <w:pPr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 xml:space="preserve">     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21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1MjkzYzk1ZDM0NDBhNDQ2OTdjYmExNjUyMGNmMmEifQ=="/>
  </w:docVars>
  <w:rsids>
    <w:rsidRoot w:val="5BB52977"/>
    <w:rsid w:val="13E7287B"/>
    <w:rsid w:val="14747B67"/>
    <w:rsid w:val="4A934476"/>
    <w:rsid w:val="4C6A0BED"/>
    <w:rsid w:val="4E371E1F"/>
    <w:rsid w:val="5A390BC1"/>
    <w:rsid w:val="5BB52977"/>
    <w:rsid w:val="68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  <w:style w:type="paragraph" w:customStyle="1" w:styleId="7">
    <w:name w:val="浅色列表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2574</Words>
  <Characters>2685</Characters>
  <Lines>0</Lines>
  <Paragraphs>0</Paragraphs>
  <TotalTime>0</TotalTime>
  <ScaleCrop>false</ScaleCrop>
  <LinksUpToDate>false</LinksUpToDate>
  <CharactersWithSpaces>2706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2023-10-11T06:56:00Z</dcterms:created>
  <dc:creator>GSL</dc:creator>
  <cp:lastModifiedBy>GSL</cp:lastModifiedBy>
  <dcterms:modified xsi:type="dcterms:W3CDTF">2023-10-12T03:39:02Z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5EE9D5F21B3F47078BFD8B217F584F28_11</vt:lpwstr>
  </property>
</Properties>
</file>