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重点项目绩效自评报告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项目支出</w:t>
      </w:r>
      <w:r>
        <w:rPr>
          <w:rFonts w:ascii="Times New Roman" w:hAnsi="Times New Roman" w:eastAsia="黑体" w:cs="Times New Roman"/>
          <w:sz w:val="32"/>
          <w:szCs w:val="32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 w:val="0"/>
          <w:bCs/>
          <w:sz w:val="32"/>
          <w:szCs w:val="32"/>
        </w:rPr>
        <w:t>（一）</w:t>
      </w: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项目支出</w:t>
      </w:r>
      <w:r>
        <w:rPr>
          <w:rFonts w:ascii="Times New Roman" w:hAnsi="Times New Roman" w:eastAsia="楷体_GB2312" w:cs="Times New Roman"/>
          <w:b w:val="0"/>
          <w:bCs/>
          <w:sz w:val="32"/>
          <w:szCs w:val="32"/>
        </w:rPr>
        <w:t>资金概况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1年我单位项目支出预算共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color="auto" w:fill="FFFFFF"/>
        </w:rPr>
        <w:t>75.53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万元，包含项目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5 </w:t>
      </w: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  <w:t>个，实际支出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color="auto" w:fill="FFFFFF"/>
        </w:rPr>
        <w:t>75.53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万元（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业务工作经费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0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万元、专项经费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color="auto" w:fill="FFFFFF"/>
        </w:rPr>
        <w:t>75.53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万元、政府专项经费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0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万元），涵盖项目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>5</w:t>
      </w: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  <w:t>个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具体情况如下：</w:t>
      </w:r>
    </w:p>
    <w:p>
      <w:pPr>
        <w:spacing w:line="660" w:lineRule="exact"/>
        <w:jc w:val="both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金额单位：万元</w:t>
      </w:r>
    </w:p>
    <w:tbl>
      <w:tblPr>
        <w:tblStyle w:val="5"/>
        <w:tblW w:w="9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066"/>
        <w:gridCol w:w="3631"/>
        <w:gridCol w:w="947"/>
        <w:gridCol w:w="1007"/>
        <w:gridCol w:w="842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146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066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项目类型</w:t>
            </w:r>
          </w:p>
        </w:tc>
        <w:tc>
          <w:tcPr>
            <w:tcW w:w="3631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资金用途、使用方向</w:t>
            </w:r>
          </w:p>
        </w:tc>
        <w:tc>
          <w:tcPr>
            <w:tcW w:w="195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预算金额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支出金额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31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指标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总额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其中：区级资金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支出总额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其中：区级资金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1.编辑《开福商海》杂志经费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部门专项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区级支付，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《开福商海》1年2期，包括编辑和印制。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2.工商界人士迎春会经费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部门专项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区级支付，1.制定活动计划.2.收集整理一年来基层上报的商会情况。3.向工商联执委汇报一年工作情况。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3.工商联教育培训、维权、调研、活动经费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部门专项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区级支付，1开展“大走访”调研活动收集各方建议意见，2.结合重要节日组织培训活动。3.组织召开常委会、务虚会等加强交流沟通。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13.00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13.00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13.00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4.非公企业服务工作经费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部门专项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区级支付，1.组织基层秘书长培训。2.引导会员积极参政议政献言献策。3.组织企业参与防疫抗疫捐赠、帮扶活动。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换届工作经费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部门专项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区级支付，1.组织开展全区商协会换届工作，召开专题会议、培训，制作电话本、画册、照片等发放给会员。2.指导基层商会换届，拨付换届经费。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34.53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34.53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34.53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843" w:type="dxa"/>
            <w:gridSpan w:val="3"/>
            <w:noWrap w:val="0"/>
            <w:vAlign w:val="center"/>
          </w:tcPr>
          <w:p>
            <w:pPr>
              <w:tabs>
                <w:tab w:val="left" w:pos="2243"/>
              </w:tabs>
              <w:spacing w:line="240" w:lineRule="auto"/>
              <w:jc w:val="both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ab/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75.53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75.53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75.53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（二）项目绩效</w:t>
      </w:r>
      <w:r>
        <w:rPr>
          <w:rFonts w:ascii="Times New Roman" w:hAnsi="Times New Roman" w:eastAsia="楷体_GB2312" w:cs="Times New Roman"/>
          <w:b w:val="0"/>
          <w:bCs/>
          <w:sz w:val="32"/>
          <w:szCs w:val="32"/>
        </w:rPr>
        <w:t>目标</w:t>
      </w: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主要包括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项目绩效总目标和阶段性目标，预期主要的经济效益、社会效益、生态效益和可持续影响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pgSz w:w="11907" w:h="16840"/>
          <w:pgMar w:top="567" w:right="567" w:bottom="567" w:left="1134" w:header="851" w:footer="992" w:gutter="0"/>
          <w:cols w:space="720" w:num="1"/>
          <w:docGrid w:type="lines" w:linePitch="381" w:charSpace="-5735"/>
        </w:sectPr>
      </w:pPr>
    </w:p>
    <w:tbl>
      <w:tblPr>
        <w:tblStyle w:val="4"/>
        <w:tblW w:w="14000" w:type="dxa"/>
        <w:tblInd w:w="-47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980"/>
        <w:gridCol w:w="1127"/>
        <w:gridCol w:w="886"/>
        <w:gridCol w:w="990"/>
        <w:gridCol w:w="990"/>
        <w:gridCol w:w="990"/>
        <w:gridCol w:w="1261"/>
        <w:gridCol w:w="2663"/>
        <w:gridCol w:w="26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资金总额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资金投向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经济效益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社会效益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生态效益</w:t>
            </w:r>
          </w:p>
        </w:tc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可持续影响</w:t>
            </w:r>
          </w:p>
        </w:tc>
        <w:tc>
          <w:tcPr>
            <w:tcW w:w="26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绩效总目标</w:t>
            </w:r>
          </w:p>
        </w:tc>
        <w:tc>
          <w:tcPr>
            <w:tcW w:w="26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阶段性目标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区工商联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编辑《开福商海》杂志经费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10.00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区级支付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/>
                <w:sz w:val="18"/>
                <w:szCs w:val="18"/>
              </w:rPr>
              <w:t>促进基层商会和行业商会发展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反映非公有制企业和非公有制经济人士利益诉求，维护其合法权益，参与经济纠纷的调解、仲裁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坚持促进“两</w:t>
            </w:r>
            <w:r>
              <w:rPr>
                <w:rFonts w:hint="eastAsia"/>
                <w:sz w:val="18"/>
                <w:szCs w:val="18"/>
              </w:rPr>
              <w:t>个健康”， 坚持服务宗旨，不断提高工商联服务企业的能力和水平。</w:t>
            </w:r>
          </w:p>
        </w:tc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/>
                <w:sz w:val="18"/>
                <w:szCs w:val="18"/>
              </w:rPr>
              <w:t>坚持教育引导，推动民营企业更好承担社会责任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6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1.坚持党的领导，把政治引领作为首要任务，用实际行动深入学习宣传贯彻落实党的十九大精神 2、坚持促进“两个健康”， 坚持服务宗旨，不断提高工商联服务企业的能力和水平。3.坚持教育引导，推动民营企业更好承担社会责任 4.坚持夯实基础，不断增强工商联的凝聚力、影响力、执行力。 </w:t>
            </w:r>
          </w:p>
        </w:tc>
        <w:tc>
          <w:tcPr>
            <w:tcW w:w="26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1.坚持党的领导，把政治引领作为首要任务，用实际行动深入学习宣传贯彻落实党的十九大精神 2、坚持促进“两个健康”， 坚持服务宗旨，不断提高工商联服务企业的能力和水平。3.坚持教育引导，推动民营企业更好承担社会责任 4.坚持夯实基础，不断增强工商联的凝聚力、影响力、执行力。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区工商联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工商界人士迎春会经费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8.00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区级支付</w:t>
            </w: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26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rPr>
          <w:trHeight w:val="1972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区工商联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工商联教育培训、维权、调研、活动经费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13.00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区级支付</w:t>
            </w: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26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区工商联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非公企业服务工作经费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10.00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区级支付</w:t>
            </w: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26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区工商联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换届工作经费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34.53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区级支付</w:t>
            </w:r>
          </w:p>
        </w:tc>
        <w:tc>
          <w:tcPr>
            <w:tcW w:w="990" w:type="dxa"/>
            <w:tcBorders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26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  <w:sectPr>
          <w:pgSz w:w="16840" w:h="11907" w:orient="landscape"/>
          <w:pgMar w:top="1587" w:right="2154" w:bottom="1474" w:left="2041" w:header="851" w:footer="992" w:gutter="0"/>
          <w:cols w:space="720" w:num="1"/>
          <w:docGrid w:type="lines" w:linePitch="381" w:charSpace="-5735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720" w:leftChars="0" w:hanging="1080" w:firstLineChars="0"/>
        <w:textAlignment w:val="auto"/>
        <w:rPr>
          <w:rFonts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 w:val="0"/>
          <w:bCs/>
          <w:sz w:val="32"/>
          <w:szCs w:val="32"/>
        </w:rPr>
        <w:t>资金使用管理情况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工商联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严肃财经纪律，严格执行财务制度，加强项目资金的管理。严格按照财务管理规定实行收支两条线，经费支出实行申请、审批、报账制，所有经费全部接受纪检、财政部门的监督和管理，把资金用到刀刃上。通过专项资金的使用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助力优化营商环境，促进了“两个健康”发展，推动了民营企业更好承担社会责任，不断增强工商联的凝聚力、影响力、执行力。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二、</w:t>
      </w:r>
      <w:r>
        <w:rPr>
          <w:rFonts w:ascii="Times New Roman" w:hAnsi="Times New Roman" w:eastAsia="黑体" w:cs="Times New Roman"/>
          <w:sz w:val="32"/>
          <w:szCs w:val="32"/>
        </w:rPr>
        <w:t>绩效评价工作情况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 xml:space="preserve">坚持党的领导，把政治引领作为首要任务，用实际行动深入学习宣传贯彻落实党的十九大精神 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坚持促进“两个健康”， 坚持服务宗旨，不断提高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工商联服务企业的能力和水平。引导会员积极参加经济建设，促进区域非公有制经济健康发展，促进地区公益事业发展，在会员与政府之间发挥桥梁作用。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40" w:leftChars="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  <w:lang w:val="en-US" w:eastAsia="zh-CN"/>
        </w:rPr>
        <w:t>三、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项目支出</w:t>
      </w:r>
      <w:r>
        <w:rPr>
          <w:rFonts w:ascii="Times New Roman" w:hAnsi="Times New Roman" w:eastAsia="黑体" w:cs="Times New Roman"/>
          <w:sz w:val="32"/>
          <w:szCs w:val="32"/>
        </w:rPr>
        <w:t>主要绩效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我单位切实加强财政支出管理，提高财政资金使用效益，较好地实现了预期绩效目标。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《开福商海》杂志采编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经费10万元。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完成了一年两期的《开福商海》杂志采编印制发放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2400余册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，通过宣传开福区营商环境、区域民营企业家，促进开福区非公有制经济和非公有制经济人士健康发展。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工商界人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迎春会议8万元。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召开了工商界人士执委会议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并进行了评比表彰，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164个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项目内容进行了表彰，制作了164个奖牌，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加强了非公有制经济人士思想政治工作，增强了工商联的凝聚力、影响力、执行力。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工商联教育培训、维权、调研、活动经费13万元。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走访调研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16个街道商会、9家行业商会；赴上海招商对接8人次；到成都考察6人次、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组织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企业团队建设学习活动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丰富多样的活动，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宣传、贯彻党和国家的方针、政策，加强和改进思想政治工作，教育会员“爱国、敬业、守法”，提高会员素质；引导会员积极参加经济建设，促进区域非公有制经济健康发展，促进地区公益事业发展，在会员与政府之间发挥了桥梁纽带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非公企业服务工作经费10万元。组织开展防疫抗疫工作，为企业送去防疫物资。召开1次政企座谈会70人次参加，发放政策汇编，搭建好政企沟通的桥梁。引导会员积极参政议政献言献策。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换届工作经费34.53万元。组织开展了区工商联第七届换届工作，450人次参加。召开专题次会议、换届培训，制作了通讯录1200本、画册1200本、照片等发放给会员。指导基层商会换届，拨付换届经费。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四、存在的问题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cs="Times New Roman"/>
          <w:sz w:val="32"/>
          <w:szCs w:val="32"/>
          <w:lang w:val="en-US" w:eastAsia="zh-CN"/>
        </w:rPr>
        <w:t>换届工作经费为一事一报，年中调整项目，导致换届工作项目预算和决算有较大的数字差异。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五、有关建议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cs="Times New Roman"/>
          <w:sz w:val="32"/>
          <w:szCs w:val="32"/>
          <w:lang w:val="en-US" w:eastAsia="zh-CN"/>
        </w:rPr>
        <w:t>加强与财政对接，把重点项目放在年初预算。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六、其他需要说明的问题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  <w:szCs w:val="28"/>
                      </w:rPr>
                      <w:t>21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12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12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AC1E24"/>
    <w:multiLevelType w:val="multilevel"/>
    <w:tmpl w:val="79AC1E24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1MjkzYzk1ZDM0NDBhNDQ2OTdjYmExNjUyMGNmMmEifQ=="/>
  </w:docVars>
  <w:rsids>
    <w:rsidRoot w:val="1D6E5D55"/>
    <w:rsid w:val="1D6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2022-09-27T06:28:00Z</dcterms:created>
  <dc:creator>GSL</dc:creator>
  <cp:lastModifiedBy>GSL</cp:lastModifiedBy>
  <dcterms:modified xsi:type="dcterms:W3CDTF">2022-09-27T06:36:26Z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A39041EFA7C7428588D7C1C156BEB880</vt:lpwstr>
  </property>
</Properties>
</file>