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numPr>
          <w:numId w:val="0"/>
        </w:numPr>
        <w:spacing w:line="600" w:lineRule="exact"/>
        <w:ind w:left="640" w:leftChars="0"/>
        <w:jc w:val="left"/>
        <w:rPr>
          <w:rFonts w:ascii="Times New Roman" w:hAnsi="Times New Roman" w:eastAsia="黑体" w:cs="Times New Roman"/>
          <w:sz w:val="44"/>
          <w:szCs w:val="44"/>
        </w:rPr>
      </w:pPr>
      <w:r>
        <w:rPr>
          <w:rFonts w:hint="eastAsia" w:ascii="Times New Roman" w:hAnsi="Times New Roman" w:eastAsia="黑体" w:cs="Times New Roman"/>
          <w:sz w:val="44"/>
          <w:szCs w:val="44"/>
        </w:rPr>
        <w:t>2021年度部门整体支出绩效评价报告</w:t>
      </w:r>
    </w:p>
    <w:p>
      <w:pPr>
        <w:pStyle w:val="7"/>
        <w:widowControl/>
        <w:numPr>
          <w:ilvl w:val="0"/>
          <w:numId w:val="1"/>
        </w:numPr>
        <w:spacing w:line="600" w:lineRule="exact"/>
        <w:ind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宋体" w:hAnsi="宋体" w:eastAsia="宋体" w:cs="宋体"/>
          <w:i w:val="0"/>
          <w:iCs w:val="0"/>
          <w:caps w:val="0"/>
          <w:color w:val="666666"/>
          <w:spacing w:val="0"/>
          <w:sz w:val="21"/>
          <w:szCs w:val="21"/>
          <w:shd w:val="clear" w:color="auto" w:fill="FFFFFF"/>
        </w:rPr>
        <w:t> </w:t>
      </w:r>
      <w:r>
        <w:rPr>
          <w:rFonts w:hint="eastAsia" w:ascii="仿宋" w:hAnsi="仿宋" w:eastAsia="仿宋" w:cs="仿宋"/>
          <w:b w:val="0"/>
          <w:bCs w:val="0"/>
          <w:i w:val="0"/>
          <w:iCs w:val="0"/>
          <w:caps w:val="0"/>
          <w:color w:val="auto"/>
          <w:spacing w:val="0"/>
          <w:sz w:val="32"/>
          <w:szCs w:val="32"/>
          <w:shd w:val="clear" w:color="auto" w:fill="FFFFFF"/>
        </w:rPr>
        <w:t>1.职能职责：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（1）贯彻执行党的基本路线，在区委领导下，参政议政，发挥民主监督作用。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（2）宣传、贯彻党和国家的方针、政策，加强和改进思想政治工作，教育会员“爱国、敬业、守法”，提高会员素质，培养骨干分子队伍。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（3）组织和指导基层商会工作，加强基层组织的建设和管理。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（4）代表并维护会员的合法权益，反映会员的意见、要求和建议，协调关系，调解经济纠纷。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（5）做好非公有制经济代表人士政治安排的推荐工作。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（6）引导会员积极参加经济建设，促进区域非公有制经济健康发展，促进地区公益事业发展，在会员与政府之间发挥桥梁作用。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（7）增进与港澳台胞和世界各国工商社团及工商界人士的联系和友谊，加强与各级工商联组织联系，促进资源共享和地区经济、技术和贸易合作的发展，协助区政府引进资金、技术和人才。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（8）为会员提供信息、科技、管理、法律、会计、审计、融资、交通、咨询等多种形式服务。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（9）承办区委、区政府和上级工商联及有关部门交办的其它工作。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2.机构设置：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（1）部门设置。本部门开福区工商联本级、没有内设机构（不设立科室，有办公室1个）和0个二级机构组成所有本级全部纳入开福区工商联部门预决算统一核算。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b w:val="0"/>
          <w:bCs w:val="0"/>
          <w:i w:val="0"/>
          <w:iCs w:val="0"/>
          <w:caps w:val="0"/>
          <w:color w:val="auto"/>
          <w:spacing w:val="0"/>
          <w:sz w:val="32"/>
          <w:szCs w:val="32"/>
        </w:rPr>
      </w:pPr>
      <w:r>
        <w:rPr>
          <w:rFonts w:hint="eastAsia" w:ascii="仿宋" w:hAnsi="仿宋" w:eastAsia="仿宋" w:cs="仿宋"/>
          <w:b w:val="0"/>
          <w:bCs w:val="0"/>
          <w:i w:val="0"/>
          <w:iCs w:val="0"/>
          <w:caps w:val="0"/>
          <w:color w:val="auto"/>
          <w:spacing w:val="0"/>
          <w:sz w:val="32"/>
          <w:szCs w:val="32"/>
          <w:shd w:val="clear" w:color="auto" w:fill="FFFFFF"/>
        </w:rPr>
        <w:t>　　（2）人员情况。本部门编制数 3 人，在职人数 6人，其中：在岗人数 6 人；编外长期聘用人员 2 人；离退休人数 1人，其中离休人员 0 人，退休人员 1 人（社保发放工资）。</w:t>
      </w:r>
    </w:p>
    <w:p>
      <w:pPr>
        <w:pStyle w:val="7"/>
        <w:keepNext w:val="0"/>
        <w:keepLines w:val="0"/>
        <w:pageBreakBefore w:val="0"/>
        <w:widowControl/>
        <w:numPr>
          <w:numId w:val="0"/>
        </w:numPr>
        <w:kinsoku/>
        <w:wordWrap/>
        <w:overflowPunct/>
        <w:topLinePunct w:val="0"/>
        <w:autoSpaceDE/>
        <w:autoSpaceDN/>
        <w:bidi w:val="0"/>
        <w:adjustRightInd/>
        <w:snapToGrid/>
        <w:spacing w:line="500" w:lineRule="exact"/>
        <w:jc w:val="left"/>
        <w:textAlignment w:val="auto"/>
        <w:rPr>
          <w:rFonts w:ascii="Times New Roman" w:hAnsi="Times New Roman" w:eastAsia="黑体" w:cs="Times New Roman"/>
          <w:sz w:val="32"/>
          <w:szCs w:val="32"/>
        </w:rPr>
      </w:pPr>
      <w:r>
        <w:rPr>
          <w:rFonts w:hint="eastAsia" w:eastAsia="黑体" w:cs="Times New Roman"/>
          <w:sz w:val="32"/>
          <w:szCs w:val="32"/>
          <w:lang w:val="en-US" w:eastAsia="zh-CN"/>
        </w:rPr>
        <w:t xml:space="preserve"> 二、 </w:t>
      </w:r>
      <w:r>
        <w:rPr>
          <w:rFonts w:ascii="Times New Roman" w:hAnsi="Times New Roman" w:eastAsia="黑体" w:cs="Times New Roman"/>
          <w:sz w:val="32"/>
          <w:szCs w:val="32"/>
        </w:rPr>
        <w:t>一般公共预算支出情况</w:t>
      </w:r>
    </w:p>
    <w:p>
      <w:pPr>
        <w:pStyle w:val="7"/>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仿宋" w:hAnsi="仿宋" w:eastAsia="仿宋" w:cs="仿宋"/>
          <w:b w:val="0"/>
          <w:bCs w:val="0"/>
          <w:i w:val="0"/>
          <w:iCs w:val="0"/>
          <w:caps w:val="0"/>
          <w:color w:val="auto"/>
          <w:spacing w:val="0"/>
          <w:sz w:val="32"/>
          <w:szCs w:val="32"/>
          <w:shd w:val="clear" w:color="auto" w:fill="FFFFFF"/>
        </w:rPr>
        <w:t>202</w:t>
      </w:r>
      <w:r>
        <w:rPr>
          <w:rFonts w:hint="eastAsia" w:ascii="仿宋" w:hAnsi="仿宋" w:eastAsia="仿宋" w:cs="仿宋"/>
          <w:b w:val="0"/>
          <w:bCs w:val="0"/>
          <w:i w:val="0"/>
          <w:iCs w:val="0"/>
          <w:caps w:val="0"/>
          <w:color w:val="auto"/>
          <w:spacing w:val="0"/>
          <w:sz w:val="32"/>
          <w:szCs w:val="32"/>
          <w:shd w:val="clear" w:color="auto" w:fill="FFFFFF"/>
          <w:lang w:val="en-US" w:eastAsia="zh-CN"/>
        </w:rPr>
        <w:t>1</w:t>
      </w:r>
      <w:r>
        <w:rPr>
          <w:rFonts w:hint="eastAsia" w:ascii="仿宋" w:hAnsi="仿宋" w:eastAsia="仿宋" w:cs="仿宋"/>
          <w:b w:val="0"/>
          <w:bCs w:val="0"/>
          <w:i w:val="0"/>
          <w:iCs w:val="0"/>
          <w:caps w:val="0"/>
          <w:color w:val="auto"/>
          <w:spacing w:val="0"/>
          <w:sz w:val="32"/>
          <w:szCs w:val="32"/>
          <w:shd w:val="clear" w:color="auto" w:fill="FFFFFF"/>
        </w:rPr>
        <w:t>年</w:t>
      </w:r>
      <w:r>
        <w:rPr>
          <w:rFonts w:hint="eastAsia" w:ascii="仿宋" w:hAnsi="仿宋" w:eastAsia="仿宋" w:cs="仿宋"/>
          <w:b w:val="0"/>
          <w:bCs w:val="0"/>
          <w:i w:val="0"/>
          <w:iCs w:val="0"/>
          <w:caps w:val="0"/>
          <w:color w:val="auto"/>
          <w:spacing w:val="0"/>
          <w:sz w:val="32"/>
          <w:szCs w:val="32"/>
          <w:shd w:val="clear" w:color="auto" w:fill="FFFFFF"/>
          <w:lang w:val="en-US" w:eastAsia="zh-CN"/>
        </w:rPr>
        <w:t>决算</w:t>
      </w:r>
      <w:r>
        <w:rPr>
          <w:rFonts w:hint="eastAsia" w:ascii="仿宋" w:hAnsi="仿宋" w:eastAsia="仿宋" w:cs="仿宋"/>
          <w:b w:val="0"/>
          <w:bCs w:val="0"/>
          <w:i w:val="0"/>
          <w:iCs w:val="0"/>
          <w:caps w:val="0"/>
          <w:color w:val="auto"/>
          <w:spacing w:val="0"/>
          <w:sz w:val="32"/>
          <w:szCs w:val="32"/>
          <w:shd w:val="clear" w:color="auto" w:fill="FFFFFF"/>
        </w:rPr>
        <w:t>数为283</w:t>
      </w:r>
      <w:r>
        <w:rPr>
          <w:rFonts w:hint="eastAsia" w:ascii="仿宋" w:hAnsi="仿宋" w:eastAsia="仿宋" w:cs="仿宋"/>
          <w:b w:val="0"/>
          <w:bCs w:val="0"/>
          <w:i w:val="0"/>
          <w:iCs w:val="0"/>
          <w:caps w:val="0"/>
          <w:color w:val="auto"/>
          <w:spacing w:val="0"/>
          <w:sz w:val="32"/>
          <w:szCs w:val="32"/>
          <w:shd w:val="clear" w:color="auto" w:fill="FFFFFF"/>
          <w:lang w:val="en-US" w:eastAsia="zh-CN"/>
        </w:rPr>
        <w:t>.3</w:t>
      </w:r>
      <w:r>
        <w:rPr>
          <w:rFonts w:hint="eastAsia" w:ascii="仿宋" w:hAnsi="仿宋" w:eastAsia="仿宋" w:cs="仿宋"/>
          <w:b w:val="0"/>
          <w:bCs w:val="0"/>
          <w:i w:val="0"/>
          <w:iCs w:val="0"/>
          <w:caps w:val="0"/>
          <w:color w:val="auto"/>
          <w:spacing w:val="0"/>
          <w:sz w:val="32"/>
          <w:szCs w:val="32"/>
          <w:shd w:val="clear" w:color="auto" w:fill="FFFFFF"/>
        </w:rPr>
        <w:t>万元，</w:t>
      </w:r>
      <w:r>
        <w:rPr>
          <w:rFonts w:hint="eastAsia" w:ascii="仿宋" w:hAnsi="仿宋" w:eastAsia="仿宋" w:cs="仿宋"/>
          <w:b w:val="0"/>
          <w:bCs w:val="0"/>
          <w:i w:val="0"/>
          <w:iCs w:val="0"/>
          <w:caps w:val="0"/>
          <w:color w:val="auto"/>
          <w:spacing w:val="0"/>
          <w:sz w:val="32"/>
          <w:szCs w:val="32"/>
          <w:shd w:val="clear" w:color="auto" w:fill="FFFFFF"/>
          <w:lang w:val="en-US" w:eastAsia="zh-CN"/>
        </w:rPr>
        <w:t>包括基本支出和项目支出。</w:t>
      </w:r>
    </w:p>
    <w:p>
      <w:pPr>
        <w:pStyle w:val="7"/>
        <w:keepNext w:val="0"/>
        <w:keepLines w:val="0"/>
        <w:pageBreakBefore w:val="0"/>
        <w:widowControl/>
        <w:numPr>
          <w:numId w:val="0"/>
        </w:numPr>
        <w:kinsoku/>
        <w:wordWrap/>
        <w:overflowPunct/>
        <w:topLinePunct w:val="0"/>
        <w:autoSpaceDE/>
        <w:autoSpaceDN/>
        <w:bidi w:val="0"/>
        <w:adjustRightInd/>
        <w:snapToGrid/>
        <w:spacing w:line="500" w:lineRule="exact"/>
        <w:ind w:left="-1080" w:leftChars="0"/>
        <w:jc w:val="left"/>
        <w:textAlignment w:val="auto"/>
        <w:rPr>
          <w:rFonts w:ascii="Times New Roman" w:hAnsi="Times New Roman" w:eastAsia="黑体" w:cs="Times New Roman"/>
          <w:sz w:val="32"/>
          <w:szCs w:val="32"/>
        </w:rPr>
      </w:pPr>
      <w:r>
        <w:rPr>
          <w:rFonts w:hint="eastAsia" w:eastAsia="黑体" w:cs="Times New Roman"/>
          <w:sz w:val="32"/>
          <w:szCs w:val="32"/>
          <w:lang w:val="en-US" w:eastAsia="zh-CN"/>
        </w:rPr>
        <w:t xml:space="preserve">        （一）</w:t>
      </w:r>
      <w:r>
        <w:rPr>
          <w:rFonts w:ascii="Times New Roman" w:hAnsi="Times New Roman" w:eastAsia="黑体" w:cs="Times New Roman"/>
          <w:sz w:val="32"/>
          <w:szCs w:val="32"/>
        </w:rPr>
        <w:t>基本支出情况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ascii="Times New Roman" w:hAnsi="Times New Roman" w:eastAsia="黑体" w:cs="Times New Roman"/>
          <w:sz w:val="32"/>
          <w:szCs w:val="32"/>
        </w:rPr>
      </w:pPr>
      <w:r>
        <w:rPr>
          <w:rFonts w:hint="eastAsia" w:ascii="仿宋" w:hAnsi="仿宋" w:eastAsia="仿宋" w:cs="仿宋"/>
          <w:b w:val="0"/>
          <w:bCs w:val="0"/>
          <w:i w:val="0"/>
          <w:iCs w:val="0"/>
          <w:caps w:val="0"/>
          <w:color w:val="auto"/>
          <w:spacing w:val="0"/>
          <w:sz w:val="32"/>
          <w:szCs w:val="32"/>
          <w:shd w:val="clear" w:color="auto" w:fill="FFFFFF"/>
        </w:rPr>
        <w:t>202</w:t>
      </w:r>
      <w:r>
        <w:rPr>
          <w:rFonts w:hint="eastAsia" w:ascii="仿宋" w:hAnsi="仿宋" w:eastAsia="仿宋" w:cs="仿宋"/>
          <w:b w:val="0"/>
          <w:bCs w:val="0"/>
          <w:i w:val="0"/>
          <w:iCs w:val="0"/>
          <w:caps w:val="0"/>
          <w:color w:val="auto"/>
          <w:spacing w:val="0"/>
          <w:sz w:val="32"/>
          <w:szCs w:val="32"/>
          <w:shd w:val="clear" w:color="auto" w:fill="FFFFFF"/>
          <w:lang w:val="en-US" w:eastAsia="zh-CN"/>
        </w:rPr>
        <w:t>1</w:t>
      </w:r>
      <w:r>
        <w:rPr>
          <w:rFonts w:hint="eastAsia" w:ascii="仿宋" w:hAnsi="仿宋" w:eastAsia="仿宋" w:cs="仿宋"/>
          <w:b w:val="0"/>
          <w:bCs w:val="0"/>
          <w:i w:val="0"/>
          <w:iCs w:val="0"/>
          <w:caps w:val="0"/>
          <w:color w:val="auto"/>
          <w:spacing w:val="0"/>
          <w:sz w:val="32"/>
          <w:szCs w:val="32"/>
          <w:shd w:val="clear" w:color="auto" w:fill="FFFFFF"/>
        </w:rPr>
        <w:t>年</w:t>
      </w:r>
      <w:r>
        <w:rPr>
          <w:rFonts w:hint="eastAsia" w:ascii="仿宋" w:hAnsi="仿宋" w:eastAsia="仿宋" w:cs="仿宋"/>
          <w:b w:val="0"/>
          <w:bCs w:val="0"/>
          <w:i w:val="0"/>
          <w:iCs w:val="0"/>
          <w:caps w:val="0"/>
          <w:color w:val="auto"/>
          <w:spacing w:val="0"/>
          <w:sz w:val="32"/>
          <w:szCs w:val="32"/>
          <w:shd w:val="clear" w:color="auto" w:fill="FFFFFF"/>
          <w:lang w:val="en-US" w:eastAsia="zh-CN"/>
        </w:rPr>
        <w:t>基本支出决算</w:t>
      </w:r>
      <w:r>
        <w:rPr>
          <w:rFonts w:hint="eastAsia" w:ascii="仿宋" w:hAnsi="仿宋" w:eastAsia="仿宋" w:cs="仿宋"/>
          <w:b w:val="0"/>
          <w:bCs w:val="0"/>
          <w:i w:val="0"/>
          <w:iCs w:val="0"/>
          <w:caps w:val="0"/>
          <w:color w:val="auto"/>
          <w:spacing w:val="0"/>
          <w:sz w:val="32"/>
          <w:szCs w:val="32"/>
          <w:shd w:val="clear" w:color="auto" w:fill="FFFFFF"/>
        </w:rPr>
        <w:t>数为207.77万元，</w:t>
      </w:r>
      <w:r>
        <w:rPr>
          <w:rFonts w:hint="eastAsia" w:ascii="仿宋" w:hAnsi="仿宋" w:eastAsia="仿宋" w:cs="仿宋"/>
          <w:b w:val="0"/>
          <w:bCs w:val="0"/>
          <w:i w:val="0"/>
          <w:iCs w:val="0"/>
          <w:caps w:val="0"/>
          <w:color w:val="auto"/>
          <w:spacing w:val="0"/>
          <w:sz w:val="32"/>
          <w:szCs w:val="32"/>
          <w:shd w:val="clear" w:color="auto" w:fill="FFFFFF"/>
          <w:lang w:val="en-US" w:eastAsia="zh-CN"/>
        </w:rPr>
        <w:t>主要是</w:t>
      </w:r>
      <w:r>
        <w:rPr>
          <w:rFonts w:hint="eastAsia" w:ascii="仿宋" w:hAnsi="仿宋" w:eastAsia="仿宋" w:cs="仿宋"/>
          <w:b w:val="0"/>
          <w:bCs w:val="0"/>
          <w:i w:val="0"/>
          <w:iCs w:val="0"/>
          <w:caps w:val="0"/>
          <w:color w:val="auto"/>
          <w:spacing w:val="0"/>
          <w:sz w:val="32"/>
          <w:szCs w:val="32"/>
          <w:shd w:val="clear" w:color="auto" w:fill="FFFFFF"/>
        </w:rPr>
        <w:t>保障单位机构正常运转、完成日常工作任务而发生的各项支出，包括用于基本工资、津贴补贴等人员经费以及办公费、印刷费、水电费、办公设备购置等日常公用经费。</w:t>
      </w:r>
    </w:p>
    <w:p>
      <w:pPr>
        <w:pStyle w:val="7"/>
        <w:keepNext w:val="0"/>
        <w:keepLines w:val="0"/>
        <w:pageBreakBefore w:val="0"/>
        <w:widowControl/>
        <w:numPr>
          <w:numId w:val="0"/>
        </w:numPr>
        <w:kinsoku/>
        <w:wordWrap/>
        <w:overflowPunct/>
        <w:topLinePunct w:val="0"/>
        <w:autoSpaceDE/>
        <w:autoSpaceDN/>
        <w:bidi w:val="0"/>
        <w:adjustRightInd/>
        <w:snapToGrid/>
        <w:spacing w:line="500" w:lineRule="exact"/>
        <w:jc w:val="left"/>
        <w:textAlignment w:val="auto"/>
        <w:rPr>
          <w:rFonts w:ascii="Times New Roman" w:hAnsi="Times New Roman" w:eastAsia="黑体" w:cs="Times New Roman"/>
          <w:sz w:val="32"/>
          <w:szCs w:val="32"/>
        </w:rPr>
      </w:pPr>
      <w:r>
        <w:rPr>
          <w:rFonts w:hint="eastAsia" w:eastAsia="黑体" w:cs="Times New Roman"/>
          <w:sz w:val="32"/>
          <w:szCs w:val="32"/>
          <w:lang w:eastAsia="zh-CN"/>
        </w:rPr>
        <w:t>（</w:t>
      </w:r>
      <w:r>
        <w:rPr>
          <w:rFonts w:hint="eastAsia" w:eastAsia="黑体" w:cs="Times New Roman"/>
          <w:sz w:val="32"/>
          <w:szCs w:val="32"/>
          <w:lang w:val="en-US" w:eastAsia="zh-CN"/>
        </w:rPr>
        <w:t>二）</w:t>
      </w:r>
      <w:r>
        <w:rPr>
          <w:rFonts w:ascii="Times New Roman" w:hAnsi="Times New Roman" w:eastAsia="黑体" w:cs="Times New Roman"/>
          <w:sz w:val="32"/>
          <w:szCs w:val="32"/>
        </w:rPr>
        <w:t>项目支出情况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hAnsi="仿宋" w:eastAsia="仿宋" w:cs="仿宋"/>
          <w:b w:val="0"/>
          <w:bCs w:val="0"/>
          <w:i w:val="0"/>
          <w:iCs w:val="0"/>
          <w:caps w:val="0"/>
          <w:color w:val="auto"/>
          <w:spacing w:val="0"/>
          <w:sz w:val="32"/>
          <w:szCs w:val="32"/>
          <w:shd w:val="clear" w:color="auto" w:fill="FFFFFF"/>
        </w:rPr>
      </w:pPr>
      <w:r>
        <w:rPr>
          <w:rFonts w:hint="eastAsia" w:ascii="仿宋" w:hAnsi="仿宋" w:eastAsia="仿宋" w:cs="仿宋"/>
          <w:b w:val="0"/>
          <w:bCs w:val="0"/>
          <w:i w:val="0"/>
          <w:iCs w:val="0"/>
          <w:caps w:val="0"/>
          <w:color w:val="auto"/>
          <w:spacing w:val="0"/>
          <w:sz w:val="32"/>
          <w:szCs w:val="32"/>
          <w:shd w:val="clear" w:color="auto" w:fill="FFFFFF"/>
        </w:rPr>
        <w:t>项目支出：202</w:t>
      </w:r>
      <w:r>
        <w:rPr>
          <w:rFonts w:hint="eastAsia" w:ascii="仿宋" w:hAnsi="仿宋" w:eastAsia="仿宋" w:cs="仿宋"/>
          <w:b w:val="0"/>
          <w:bCs w:val="0"/>
          <w:i w:val="0"/>
          <w:iCs w:val="0"/>
          <w:caps w:val="0"/>
          <w:color w:val="auto"/>
          <w:spacing w:val="0"/>
          <w:sz w:val="32"/>
          <w:szCs w:val="32"/>
          <w:shd w:val="clear" w:color="auto" w:fill="FFFFFF"/>
          <w:lang w:val="en-US" w:eastAsia="zh-CN"/>
        </w:rPr>
        <w:t>1</w:t>
      </w:r>
      <w:r>
        <w:rPr>
          <w:rFonts w:hint="eastAsia" w:ascii="仿宋" w:hAnsi="仿宋" w:eastAsia="仿宋" w:cs="仿宋"/>
          <w:b w:val="0"/>
          <w:bCs w:val="0"/>
          <w:i w:val="0"/>
          <w:iCs w:val="0"/>
          <w:caps w:val="0"/>
          <w:color w:val="auto"/>
          <w:spacing w:val="0"/>
          <w:sz w:val="32"/>
          <w:szCs w:val="32"/>
          <w:shd w:val="clear" w:color="auto" w:fill="FFFFFF"/>
        </w:rPr>
        <w:t>年</w:t>
      </w:r>
      <w:r>
        <w:rPr>
          <w:rFonts w:hint="eastAsia" w:ascii="仿宋" w:hAnsi="仿宋" w:eastAsia="仿宋" w:cs="仿宋"/>
          <w:b w:val="0"/>
          <w:bCs w:val="0"/>
          <w:i w:val="0"/>
          <w:iCs w:val="0"/>
          <w:caps w:val="0"/>
          <w:color w:val="auto"/>
          <w:spacing w:val="0"/>
          <w:sz w:val="32"/>
          <w:szCs w:val="32"/>
          <w:shd w:val="clear" w:color="auto" w:fill="FFFFFF"/>
          <w:lang w:val="en-US" w:eastAsia="zh-CN"/>
        </w:rPr>
        <w:t>决算</w:t>
      </w:r>
      <w:r>
        <w:rPr>
          <w:rFonts w:hint="eastAsia" w:ascii="仿宋" w:hAnsi="仿宋" w:eastAsia="仿宋" w:cs="仿宋"/>
          <w:b w:val="0"/>
          <w:bCs w:val="0"/>
          <w:i w:val="0"/>
          <w:iCs w:val="0"/>
          <w:caps w:val="0"/>
          <w:color w:val="auto"/>
          <w:spacing w:val="0"/>
          <w:sz w:val="32"/>
          <w:szCs w:val="32"/>
          <w:shd w:val="clear" w:color="auto" w:fill="FFFFFF"/>
        </w:rPr>
        <w:t>数为75.53万元，是指单位为完成特定行政工作任务或事业发展目标而发生的支出，其中：编辑《开福商海》杂志经费10万；工商界人士迎春会8万元；工商联教育培训、调研、活动经费1</w:t>
      </w:r>
      <w:r>
        <w:rPr>
          <w:rFonts w:hint="eastAsia" w:ascii="仿宋" w:hAnsi="仿宋" w:eastAsia="仿宋" w:cs="仿宋"/>
          <w:b w:val="0"/>
          <w:bCs w:val="0"/>
          <w:i w:val="0"/>
          <w:iCs w:val="0"/>
          <w:caps w:val="0"/>
          <w:color w:val="auto"/>
          <w:spacing w:val="0"/>
          <w:sz w:val="32"/>
          <w:szCs w:val="32"/>
          <w:shd w:val="clear" w:color="auto" w:fill="FFFFFF"/>
          <w:lang w:val="en-US" w:eastAsia="zh-CN"/>
        </w:rPr>
        <w:t>3</w:t>
      </w:r>
      <w:r>
        <w:rPr>
          <w:rFonts w:hint="eastAsia" w:ascii="仿宋" w:hAnsi="仿宋" w:eastAsia="仿宋" w:cs="仿宋"/>
          <w:b w:val="0"/>
          <w:bCs w:val="0"/>
          <w:i w:val="0"/>
          <w:iCs w:val="0"/>
          <w:caps w:val="0"/>
          <w:color w:val="auto"/>
          <w:spacing w:val="0"/>
          <w:sz w:val="32"/>
          <w:szCs w:val="32"/>
          <w:shd w:val="clear" w:color="auto" w:fill="FFFFFF"/>
        </w:rPr>
        <w:t>万元；非公企业服务工作经费10万元</w:t>
      </w:r>
      <w:r>
        <w:rPr>
          <w:rFonts w:hint="eastAsia" w:ascii="仿宋" w:hAnsi="仿宋" w:eastAsia="仿宋" w:cs="仿宋"/>
          <w:b w:val="0"/>
          <w:bCs w:val="0"/>
          <w:i w:val="0"/>
          <w:iCs w:val="0"/>
          <w:caps w:val="0"/>
          <w:color w:val="auto"/>
          <w:spacing w:val="0"/>
          <w:sz w:val="32"/>
          <w:szCs w:val="32"/>
          <w:shd w:val="clear" w:color="auto" w:fill="FFFFFF"/>
          <w:lang w:eastAsia="zh-CN"/>
        </w:rPr>
        <w:t>；</w:t>
      </w:r>
      <w:r>
        <w:rPr>
          <w:rFonts w:hint="eastAsia" w:ascii="仿宋" w:hAnsi="仿宋" w:eastAsia="仿宋" w:cs="仿宋"/>
          <w:b w:val="0"/>
          <w:bCs w:val="0"/>
          <w:i w:val="0"/>
          <w:iCs w:val="0"/>
          <w:caps w:val="0"/>
          <w:color w:val="auto"/>
          <w:spacing w:val="0"/>
          <w:sz w:val="32"/>
          <w:szCs w:val="32"/>
          <w:shd w:val="clear" w:color="auto" w:fill="FFFFFF"/>
          <w:lang w:val="en-US" w:eastAsia="zh-CN"/>
        </w:rPr>
        <w:t>换届工作经费34.53</w:t>
      </w:r>
      <w:r>
        <w:rPr>
          <w:rFonts w:hint="eastAsia" w:ascii="仿宋" w:hAnsi="仿宋" w:eastAsia="仿宋" w:cs="仿宋"/>
          <w:b w:val="0"/>
          <w:bCs w:val="0"/>
          <w:i w:val="0"/>
          <w:iCs w:val="0"/>
          <w:caps w:val="0"/>
          <w:color w:val="auto"/>
          <w:spacing w:val="0"/>
          <w:sz w:val="32"/>
          <w:szCs w:val="32"/>
          <w:shd w:val="clear" w:color="auto" w:fill="FFFFFF"/>
        </w:rPr>
        <w:t>。</w:t>
      </w:r>
    </w:p>
    <w:p>
      <w:pPr>
        <w:widowControl/>
        <w:spacing w:line="60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320" w:firstLineChars="100"/>
        <w:jc w:val="left"/>
        <w:rPr>
          <w:rFonts w:hint="eastAsia" w:ascii="仿宋_GB2312" w:hAnsi="仿宋" w:cs="仿宋"/>
          <w:sz w:val="32"/>
          <w:szCs w:val="32"/>
        </w:rPr>
      </w:pPr>
      <w:r>
        <w:rPr>
          <w:rFonts w:hint="eastAsia" w:ascii="Times New Roman" w:hAnsi="Times New Roman" w:cs="Times New Roman"/>
          <w:color w:val="000000"/>
          <w:sz w:val="32"/>
          <w:szCs w:val="32"/>
          <w:lang w:eastAsia="zh-CN"/>
        </w:rPr>
        <w:t>（一）</w:t>
      </w:r>
      <w:r>
        <w:rPr>
          <w:rFonts w:hint="eastAsia" w:ascii="仿宋_GB2312" w:hAnsi="仿宋" w:cs="仿宋"/>
          <w:sz w:val="32"/>
          <w:szCs w:val="32"/>
        </w:rPr>
        <w:t>绩效目标</w:t>
      </w:r>
      <w:r>
        <w:rPr>
          <w:rFonts w:hint="eastAsia" w:ascii="仿宋_GB2312" w:hAnsi="仿宋" w:cs="仿宋"/>
          <w:sz w:val="32"/>
          <w:szCs w:val="32"/>
          <w:lang w:eastAsia="zh-CN"/>
        </w:rPr>
        <w:t>设置</w:t>
      </w:r>
      <w:r>
        <w:rPr>
          <w:rFonts w:hint="eastAsia" w:ascii="仿宋_GB2312" w:hAnsi="仿宋" w:cs="仿宋"/>
          <w:sz w:val="32"/>
          <w:szCs w:val="32"/>
        </w:rPr>
        <w:t>情况</w:t>
      </w:r>
    </w:p>
    <w:tbl>
      <w:tblPr>
        <w:tblStyle w:val="5"/>
        <w:tblW w:w="7978" w:type="dxa"/>
        <w:tblInd w:w="93" w:type="dxa"/>
        <w:tblLayout w:type="autofit"/>
        <w:tblCellMar>
          <w:top w:w="0" w:type="dxa"/>
          <w:left w:w="108" w:type="dxa"/>
          <w:bottom w:w="0" w:type="dxa"/>
          <w:right w:w="108" w:type="dxa"/>
        </w:tblCellMar>
      </w:tblPr>
      <w:tblGrid>
        <w:gridCol w:w="1220"/>
        <w:gridCol w:w="529"/>
        <w:gridCol w:w="527"/>
        <w:gridCol w:w="859"/>
        <w:gridCol w:w="4843"/>
      </w:tblGrid>
      <w:tr>
        <w:tblPrEx>
          <w:tblCellMar>
            <w:top w:w="0" w:type="dxa"/>
            <w:left w:w="108" w:type="dxa"/>
            <w:bottom w:w="0" w:type="dxa"/>
            <w:right w:w="108" w:type="dxa"/>
          </w:tblCellMar>
        </w:tblPrEx>
        <w:trPr>
          <w:gridAfter w:val="3"/>
          <w:wAfter w:w="5983" w:type="dxa"/>
          <w:trHeight w:val="159" w:hRule="atLeast"/>
        </w:trPr>
        <w:tc>
          <w:tcPr>
            <w:tcW w:w="0" w:type="auto"/>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单位名称</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项目名称</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资金总额</w:t>
            </w:r>
          </w:p>
        </w:tc>
        <w:tc>
          <w:tcPr>
            <w:tcW w:w="44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lang w:val="en-US" w:eastAsia="zh-CN"/>
              </w:rPr>
            </w:pPr>
            <w:r>
              <w:rPr>
                <w:rFonts w:hint="eastAsia" w:ascii="宋体" w:hAnsi="宋体" w:eastAsia="宋体" w:cs="宋体"/>
                <w:b/>
                <w:bCs/>
                <w:i w:val="0"/>
                <w:iCs w:val="0"/>
                <w:color w:val="000000"/>
                <w:sz w:val="16"/>
                <w:szCs w:val="16"/>
                <w:u w:val="none"/>
                <w:lang w:val="en-US" w:eastAsia="zh-CN"/>
              </w:rPr>
              <w:t>目标</w:t>
            </w:r>
          </w:p>
        </w:tc>
      </w:tr>
      <w:tr>
        <w:tblPrEx>
          <w:tblCellMar>
            <w:top w:w="0" w:type="dxa"/>
            <w:left w:w="108" w:type="dxa"/>
            <w:bottom w:w="0" w:type="dxa"/>
            <w:right w:w="108" w:type="dxa"/>
          </w:tblCellMar>
        </w:tblPrEx>
        <w:trPr>
          <w:trHeight w:val="516" w:hRule="atLeast"/>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16"/>
                <w:szCs w:val="16"/>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16"/>
                <w:szCs w:val="16"/>
                <w:u w:val="none"/>
              </w:rPr>
            </w:pPr>
          </w:p>
        </w:tc>
        <w:tc>
          <w:tcPr>
            <w:tcW w:w="44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6"/>
                <w:szCs w:val="16"/>
                <w:u w:val="none"/>
              </w:rPr>
            </w:pPr>
          </w:p>
        </w:tc>
      </w:tr>
      <w:tr>
        <w:tblPrEx>
          <w:tblCellMar>
            <w:top w:w="0" w:type="dxa"/>
            <w:left w:w="108" w:type="dxa"/>
            <w:bottom w:w="0" w:type="dxa"/>
            <w:right w:w="108" w:type="dxa"/>
          </w:tblCellMar>
        </w:tblPrEx>
        <w:trPr>
          <w:trHeight w:val="51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区工商联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办公经费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21.52</w:t>
            </w:r>
          </w:p>
        </w:tc>
        <w:tc>
          <w:tcPr>
            <w:tcW w:w="442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b/>
                <w:bCs/>
                <w:i w:val="0"/>
                <w:iCs w:val="0"/>
                <w:color w:val="000000"/>
                <w:sz w:val="16"/>
                <w:szCs w:val="16"/>
                <w:u w:val="none"/>
                <w:lang w:val="en-US" w:eastAsia="zh-CN"/>
              </w:rPr>
            </w:pPr>
            <w:r>
              <w:rPr>
                <w:rFonts w:hint="eastAsia" w:ascii="仿宋" w:hAnsi="仿宋" w:eastAsia="仿宋" w:cs="仿宋"/>
                <w:i w:val="0"/>
                <w:iCs w:val="0"/>
                <w:color w:val="000000"/>
                <w:kern w:val="0"/>
                <w:sz w:val="21"/>
                <w:szCs w:val="21"/>
                <w:u w:val="none"/>
                <w:lang w:val="en-US" w:eastAsia="zh-CN" w:bidi="ar"/>
              </w:rPr>
              <w:t>1.保障日常运转得办公耗材、打印复印、其他商品服务性开支等；2.转工会经费；3.交通补贴支付；</w:t>
            </w:r>
          </w:p>
        </w:tc>
      </w:tr>
      <w:tr>
        <w:tblPrEx>
          <w:tblCellMar>
            <w:top w:w="0" w:type="dxa"/>
            <w:left w:w="108" w:type="dxa"/>
            <w:bottom w:w="0" w:type="dxa"/>
            <w:right w:w="108" w:type="dxa"/>
          </w:tblCellMar>
        </w:tblPrEx>
        <w:trPr>
          <w:trHeight w:val="122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区工商联</w:t>
            </w:r>
          </w:p>
        </w:tc>
        <w:tc>
          <w:tcPr>
            <w:tcW w:w="10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编辑《开福商海》杂志经费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10.00</w:t>
            </w:r>
          </w:p>
        </w:tc>
        <w:tc>
          <w:tcPr>
            <w:tcW w:w="4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一年两期。</w:t>
            </w:r>
          </w:p>
        </w:tc>
      </w:tr>
      <w:tr>
        <w:tblPrEx>
          <w:tblCellMar>
            <w:top w:w="0" w:type="dxa"/>
            <w:left w:w="108" w:type="dxa"/>
            <w:bottom w:w="0" w:type="dxa"/>
            <w:right w:w="108" w:type="dxa"/>
          </w:tblCellMar>
        </w:tblPrEx>
        <w:trPr>
          <w:trHeight w:val="122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区工商联</w:t>
            </w:r>
          </w:p>
        </w:tc>
        <w:tc>
          <w:tcPr>
            <w:tcW w:w="10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工商界人士迎春会经费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8.00</w:t>
            </w:r>
          </w:p>
        </w:tc>
        <w:tc>
          <w:tcPr>
            <w:tcW w:w="4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1.制定活动计划.2.收集整理一年来基层上报的商会情况。3.向工商联执委汇报一年工作情况，表彰工商届人士。</w:t>
            </w:r>
          </w:p>
        </w:tc>
      </w:tr>
      <w:tr>
        <w:tblPrEx>
          <w:tblCellMar>
            <w:top w:w="0" w:type="dxa"/>
            <w:left w:w="108" w:type="dxa"/>
            <w:bottom w:w="0" w:type="dxa"/>
            <w:right w:w="108" w:type="dxa"/>
          </w:tblCellMar>
        </w:tblPrEx>
        <w:trPr>
          <w:trHeight w:val="122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区工商联</w:t>
            </w:r>
          </w:p>
        </w:tc>
        <w:tc>
          <w:tcPr>
            <w:tcW w:w="10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工商联教育培训、维权、调研、活动经费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13.00</w:t>
            </w:r>
          </w:p>
        </w:tc>
        <w:tc>
          <w:tcPr>
            <w:tcW w:w="4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1开展“大走访”调研活动收集各方建议意见，2.结合重要节日组织培训活动。3.组织召开常委会、务虚会等加强交流沟通。</w:t>
            </w:r>
          </w:p>
        </w:tc>
      </w:tr>
      <w:tr>
        <w:tblPrEx>
          <w:tblCellMar>
            <w:top w:w="0" w:type="dxa"/>
            <w:left w:w="108" w:type="dxa"/>
            <w:bottom w:w="0" w:type="dxa"/>
            <w:right w:w="108" w:type="dxa"/>
          </w:tblCellMar>
        </w:tblPrEx>
        <w:trPr>
          <w:trHeight w:val="131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区工商联</w:t>
            </w:r>
          </w:p>
        </w:tc>
        <w:tc>
          <w:tcPr>
            <w:tcW w:w="10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非公企业服务工作经费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10.00</w:t>
            </w:r>
          </w:p>
        </w:tc>
        <w:tc>
          <w:tcPr>
            <w:tcW w:w="4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1.组织基层秘书长培训。2.引导会员积极参政议政献言献策。3.组织企业参与防疫抗疫捐赠、帮扶活动。</w:t>
            </w:r>
          </w:p>
        </w:tc>
      </w:tr>
      <w:tr>
        <w:tblPrEx>
          <w:tblCellMar>
            <w:top w:w="0" w:type="dxa"/>
            <w:left w:w="108" w:type="dxa"/>
            <w:bottom w:w="0" w:type="dxa"/>
            <w:right w:w="108" w:type="dxa"/>
          </w:tblCellMar>
        </w:tblPrEx>
        <w:trPr>
          <w:trHeight w:val="131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区工商联</w:t>
            </w:r>
          </w:p>
        </w:tc>
        <w:tc>
          <w:tcPr>
            <w:tcW w:w="10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换届工作经费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34.53</w:t>
            </w:r>
          </w:p>
        </w:tc>
        <w:tc>
          <w:tcPr>
            <w:tcW w:w="44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1.组织开展全区工商联换届工作，召开专题会议、培训，制作电话本、画册、照片等发放给会员。2.指导基层商会换届，拨付换届经费。</w:t>
            </w:r>
          </w:p>
        </w:tc>
      </w:tr>
    </w:tbl>
    <w:p>
      <w:pPr>
        <w:widowControl/>
        <w:snapToGrid w:val="0"/>
        <w:spacing w:line="560" w:lineRule="exact"/>
        <w:jc w:val="left"/>
        <w:rPr>
          <w:rFonts w:hint="eastAsia" w:ascii="仿宋_GB2312" w:hAnsi="仿宋" w:cs="仿宋"/>
          <w:sz w:val="32"/>
          <w:szCs w:val="32"/>
          <w:lang w:eastAsia="zh-CN"/>
        </w:rPr>
      </w:pPr>
      <w:r>
        <w:rPr>
          <w:rFonts w:hint="eastAsia" w:ascii="仿宋_GB2312" w:hAnsi="仿宋" w:cs="仿宋"/>
          <w:sz w:val="32"/>
          <w:szCs w:val="32"/>
          <w:lang w:eastAsia="zh-CN"/>
        </w:rPr>
        <w:t>（二）绩效目标完成情况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《开福商海》杂志采编</w:t>
      </w:r>
      <w:r>
        <w:rPr>
          <w:rFonts w:hint="eastAsia" w:ascii="Times New Roman" w:hAnsi="Times New Roman" w:cs="Times New Roman"/>
          <w:sz w:val="32"/>
          <w:szCs w:val="32"/>
          <w:lang w:val="en-US" w:eastAsia="zh-CN"/>
        </w:rPr>
        <w:t>经费10万元。</w:t>
      </w:r>
      <w:r>
        <w:rPr>
          <w:rFonts w:hint="eastAsia" w:ascii="Times New Roman" w:hAnsi="Times New Roman" w:eastAsia="仿宋_GB2312" w:cs="Times New Roman"/>
          <w:sz w:val="32"/>
          <w:szCs w:val="32"/>
          <w:lang w:val="en-US" w:eastAsia="zh-CN"/>
        </w:rPr>
        <w:t>完成了一年两期的《开福商海》杂志采编印制发放</w:t>
      </w:r>
      <w:r>
        <w:rPr>
          <w:rFonts w:hint="eastAsia" w:ascii="Times New Roman" w:hAnsi="Times New Roman" w:cs="Times New Roman"/>
          <w:sz w:val="32"/>
          <w:szCs w:val="32"/>
          <w:lang w:val="en-US" w:eastAsia="zh-CN"/>
        </w:rPr>
        <w:t>2400余册</w:t>
      </w:r>
      <w:r>
        <w:rPr>
          <w:rFonts w:hint="eastAsia" w:ascii="Times New Roman" w:hAnsi="Times New Roman" w:eastAsia="仿宋_GB2312" w:cs="Times New Roman"/>
          <w:sz w:val="32"/>
          <w:szCs w:val="32"/>
          <w:lang w:val="en-US" w:eastAsia="zh-CN"/>
        </w:rPr>
        <w:t>，通过宣传开福区营商环境、区域民营企业家，促进开福区非公有制经济和非公有制经济人士健康发展。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工商界人</w:t>
      </w:r>
      <w:r>
        <w:rPr>
          <w:rFonts w:hint="eastAsia" w:ascii="Times New Roman" w:hAnsi="Times New Roman" w:cs="Times New Roman"/>
          <w:sz w:val="32"/>
          <w:szCs w:val="32"/>
          <w:lang w:val="en-US" w:eastAsia="zh-CN"/>
        </w:rPr>
        <w:t xml:space="preserve">迎春会议8万元。 </w:t>
      </w:r>
      <w:r>
        <w:rPr>
          <w:rFonts w:hint="eastAsia" w:ascii="Times New Roman" w:hAnsi="Times New Roman" w:eastAsia="仿宋_GB2312" w:cs="Times New Roman"/>
          <w:sz w:val="32"/>
          <w:szCs w:val="32"/>
          <w:lang w:val="en-US" w:eastAsia="zh-CN"/>
        </w:rPr>
        <w:t>召开了工商界人士执委会议</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lang w:val="en-US" w:eastAsia="zh-CN"/>
        </w:rPr>
        <w:t>并进行了评比表彰，</w:t>
      </w:r>
      <w:r>
        <w:rPr>
          <w:rFonts w:hint="eastAsia" w:ascii="Times New Roman" w:hAnsi="Times New Roman" w:cs="Times New Roman"/>
          <w:sz w:val="32"/>
          <w:szCs w:val="32"/>
          <w:lang w:val="en-US" w:eastAsia="zh-CN"/>
        </w:rPr>
        <w:t>对</w:t>
      </w:r>
      <w:r>
        <w:rPr>
          <w:rFonts w:hint="eastAsia" w:ascii="Times New Roman" w:hAnsi="Times New Roman" w:eastAsia="仿宋_GB2312" w:cs="Times New Roman"/>
          <w:sz w:val="32"/>
          <w:szCs w:val="32"/>
          <w:lang w:val="en-US" w:eastAsia="zh-CN"/>
        </w:rPr>
        <w:t>164个</w:t>
      </w:r>
      <w:r>
        <w:rPr>
          <w:rFonts w:hint="eastAsia" w:ascii="Times New Roman" w:hAnsi="Times New Roman" w:cs="Times New Roman"/>
          <w:sz w:val="32"/>
          <w:szCs w:val="32"/>
          <w:lang w:val="en-US" w:eastAsia="zh-CN"/>
        </w:rPr>
        <w:t>项目内容进行了表彰，制作了164个奖牌，</w:t>
      </w:r>
      <w:r>
        <w:rPr>
          <w:rFonts w:hint="eastAsia" w:ascii="Times New Roman" w:hAnsi="Times New Roman" w:eastAsia="仿宋_GB2312" w:cs="Times New Roman"/>
          <w:sz w:val="32"/>
          <w:szCs w:val="32"/>
          <w:lang w:val="en-US" w:eastAsia="zh-CN"/>
        </w:rPr>
        <w:t>加强了非公有制经济人士思想政治工作，增强了工商联的凝聚力、影响力、执行力。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工商联教育培训、维权、调研、活动经费13万元。</w:t>
      </w:r>
      <w:r>
        <w:rPr>
          <w:rFonts w:hint="eastAsia" w:ascii="Times New Roman" w:hAnsi="Times New Roman" w:eastAsia="仿宋_GB2312" w:cs="Times New Roman"/>
          <w:sz w:val="32"/>
          <w:szCs w:val="32"/>
          <w:lang w:val="en-US" w:eastAsia="zh-CN"/>
        </w:rPr>
        <w:t>走访调研</w:t>
      </w:r>
      <w:r>
        <w:rPr>
          <w:rFonts w:hint="eastAsia" w:ascii="Times New Roman" w:hAnsi="Times New Roman" w:cs="Times New Roman"/>
          <w:sz w:val="32"/>
          <w:szCs w:val="32"/>
          <w:lang w:val="en-US" w:eastAsia="zh-CN"/>
        </w:rPr>
        <w:t>16个街道商会、9家行业商会；赴上海招商对接8人次；到成都考察6人次、</w:t>
      </w:r>
      <w:r>
        <w:rPr>
          <w:rFonts w:hint="eastAsia" w:ascii="Times New Roman" w:hAnsi="Times New Roman" w:eastAsia="仿宋_GB2312" w:cs="Times New Roman"/>
          <w:sz w:val="32"/>
          <w:szCs w:val="32"/>
          <w:lang w:val="en-US" w:eastAsia="zh-CN"/>
        </w:rPr>
        <w:t>组织</w:t>
      </w:r>
      <w:r>
        <w:rPr>
          <w:rFonts w:hint="eastAsia" w:ascii="Times New Roman" w:hAnsi="Times New Roman" w:eastAsia="仿宋_GB2312" w:cs="Times New Roman"/>
          <w:sz w:val="32"/>
          <w:szCs w:val="32"/>
          <w:lang w:eastAsia="zh-CN"/>
        </w:rPr>
        <w:t>企业团队建设学习活动</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lang w:eastAsia="zh-CN"/>
        </w:rPr>
        <w:t>丰富多样的活动，</w:t>
      </w:r>
      <w:r>
        <w:rPr>
          <w:rFonts w:hint="eastAsia" w:ascii="Times New Roman" w:hAnsi="Times New Roman" w:eastAsia="仿宋_GB2312" w:cs="Times New Roman"/>
          <w:sz w:val="32"/>
          <w:szCs w:val="32"/>
          <w:lang w:val="en-US" w:eastAsia="zh-CN"/>
        </w:rPr>
        <w:t xml:space="preserve"> 宣传、贯彻党和国家的方针、政策，加强和改进思想政治工作，教育会员“爱国、敬业、守法”，提高会员素质；引导会员积极参加经济建设，促进区域非公有制经济健康发展，促进地区公益事业发展，在会员与政府之间发挥了桥梁纽带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非公企业服务工作经费10万元。组织开展防疫抗疫工作，为企业送去防疫物资。召开1次政企座谈会70人次参加，发放政策汇编，搭建好政企沟通的桥梁。引导会员积极参政议政献言献策。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换届工作经费34.53万元。组织开展了区工商联第七届换届工作，450人次参加。召开专题次会议、换届培训，制作了通讯录1200本、画册1200本、照片等发放给会员。指导基层商会换届，拨付换届经费。</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我们将严格执行财务工作各项要求，加强意识教育，积极加强同财政交流学习，完成本单位财务管理、结算</w:t>
      </w:r>
      <w:bookmarkStart w:id="0" w:name="_GoBack"/>
      <w:bookmarkEnd w:id="0"/>
      <w:r>
        <w:rPr>
          <w:rFonts w:hint="eastAsia" w:ascii="Times New Roman" w:hAnsi="Times New Roman" w:cs="Times New Roman"/>
          <w:sz w:val="32"/>
          <w:szCs w:val="32"/>
          <w:lang w:val="en-US" w:eastAsia="zh-CN"/>
        </w:rPr>
        <w:t>组织、编报、审核工作。</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根据相关要求，在办公会议上进行公开，并要求全体干部加强资金使用意识，合理合规有效使用部门专项资金。</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、其他需要说明的情况</w:t>
      </w:r>
    </w:p>
    <w:p>
      <w:pPr>
        <w:jc w:val="left"/>
        <w:rPr>
          <w:rFonts w:hint="default" w:ascii="Times New Roman" w:hAnsi="Times New Roman" w:cs="Times New Roman"/>
          <w:sz w:val="32"/>
          <w:szCs w:val="32"/>
          <w:lang w:val="en-US" w:eastAsia="zh-CN"/>
        </w:rPr>
      </w:pPr>
      <w:r>
        <w:rPr>
          <w:rFonts w:hint="eastAsia"/>
          <w:lang w:val="en-US" w:eastAsia="zh-CN"/>
        </w:rPr>
        <w:t xml:space="preserve">     </w:t>
      </w:r>
      <w:r>
        <w:rPr>
          <w:rFonts w:hint="eastAsia" w:ascii="Times New Roman" w:hAnsi="Times New Roman" w:cs="Times New Roman"/>
          <w:sz w:val="32"/>
          <w:szCs w:val="32"/>
          <w:lang w:val="en-US" w:eastAsia="zh-CN"/>
        </w:rPr>
        <w:t>无。</w:t>
      </w:r>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MjkzYzk1ZDM0NDBhNDQ2OTdjYmExNjUyMGNmMmEifQ=="/>
  </w:docVars>
  <w:rsids>
    <w:rsidRoot w:val="6C6852BA"/>
    <w:rsid w:val="6C685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2022-09-27T06:37:00Z</dcterms:created>
  <dc:creator>GSL</dc:creator>
  <cp:lastModifiedBy>GSL</cp:lastModifiedBy>
  <dcterms:modified xsi:type="dcterms:W3CDTF">2022-09-27T06:40:34Z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128618666C244232908FCFCA73EE6343</vt:lpwstr>
  </property>
</Properties>
</file>