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2"/>
        <w:rPr>
          <w:rFonts w:ascii="仿宋" w:hAnsi="仿宋" w:eastAsia="仿宋" w:cs="仿宋"/>
          <w:b/>
          <w:bCs/>
          <w:color w:val="auto"/>
          <w:kern w:val="0"/>
          <w:sz w:val="48"/>
          <w:szCs w:val="48"/>
        </w:rPr>
      </w:pPr>
      <w:bookmarkStart w:id="0" w:name="_GoBack"/>
      <w:r>
        <w:rPr>
          <w:rFonts w:hint="eastAsia" w:ascii="仿宋" w:hAnsi="仿宋" w:eastAsia="仿宋" w:cs="仿宋"/>
          <w:b/>
          <w:bCs/>
          <w:color w:val="auto"/>
          <w:kern w:val="0"/>
          <w:sz w:val="48"/>
          <w:szCs w:val="48"/>
        </w:rPr>
        <w:t>2021年开福区工商业联合会部门预算</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2"/>
        <w:rPr>
          <w:rFonts w:ascii="仿宋" w:hAnsi="仿宋" w:eastAsia="仿宋" w:cs="仿宋"/>
          <w:b/>
          <w:bCs/>
          <w:color w:val="auto"/>
          <w:kern w:val="0"/>
          <w:sz w:val="48"/>
          <w:szCs w:val="48"/>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color w:val="auto"/>
          <w:kern w:val="0"/>
          <w:sz w:val="32"/>
          <w:szCs w:val="32"/>
        </w:rPr>
      </w:pPr>
      <w:r>
        <w:rPr>
          <w:rFonts w:eastAsia="黑体"/>
          <w:bCs/>
          <w:color w:val="auto"/>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color w:val="auto"/>
          <w:kern w:val="0"/>
          <w:sz w:val="32"/>
          <w:szCs w:val="32"/>
        </w:rPr>
      </w:pPr>
      <w:r>
        <w:rPr>
          <w:rFonts w:hint="eastAsia" w:ascii="黑体" w:hAnsi="黑体" w:eastAsia="黑体" w:cs="黑体"/>
          <w:b/>
          <w:bCs/>
          <w:color w:val="auto"/>
          <w:kern w:val="0"/>
          <w:sz w:val="32"/>
          <w:szCs w:val="32"/>
        </w:rPr>
        <w:t>2021年部门预算说明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eastAsia="仿宋_GB2312"/>
          <w:b/>
          <w:bCs/>
          <w:color w:val="auto"/>
          <w:kern w:val="0"/>
          <w:sz w:val="32"/>
          <w:szCs w:val="32"/>
        </w:rPr>
      </w:pPr>
      <w:r>
        <w:rPr>
          <w:rFonts w:hint="eastAsia" w:ascii="黑体" w:hAnsi="黑体" w:eastAsia="黑体" w:cs="黑体"/>
          <w:b/>
          <w:bCs/>
          <w:color w:val="auto"/>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9、国有资本经营预算支出表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ind w:firstLine="570"/>
        <w:textAlignment w:val="auto"/>
        <w:rPr>
          <w:rFonts w:ascii="宋体" w:hAnsi="宋体" w:eastAsia="宋体" w:cs="宋体"/>
          <w:color w:val="auto"/>
          <w:kern w:val="0"/>
          <w:szCs w:val="21"/>
        </w:rPr>
      </w:pPr>
      <w:r>
        <w:rPr>
          <w:rFonts w:hint="eastAsia" w:ascii="宋体" w:hAnsi="宋体" w:eastAsia="宋体" w:cs="宋体"/>
          <w:color w:val="auto"/>
          <w:kern w:val="0"/>
          <w:szCs w:val="21"/>
        </w:rPr>
        <w:br w:type="textWrapping"/>
      </w:r>
    </w:p>
    <w:p>
      <w:pPr>
        <w:keepNext w:val="0"/>
        <w:keepLines w:val="0"/>
        <w:pageBreakBefore w:val="0"/>
        <w:widowControl/>
        <w:numPr>
          <w:ilvl w:val="0"/>
          <w:numId w:val="2"/>
        </w:numPr>
        <w:kinsoku/>
        <w:wordWrap/>
        <w:overflowPunct/>
        <w:topLinePunct w:val="0"/>
        <w:autoSpaceDE/>
        <w:autoSpaceDN/>
        <w:bidi w:val="0"/>
        <w:adjustRightInd/>
        <w:snapToGrid/>
        <w:spacing w:line="600" w:lineRule="exact"/>
        <w:jc w:val="center"/>
        <w:textAlignment w:val="auto"/>
        <w:rPr>
          <w:rFonts w:ascii="黑体" w:hAnsi="黑体" w:eastAsia="黑体" w:cs="黑体"/>
          <w:b/>
          <w:color w:val="auto"/>
          <w:kern w:val="0"/>
          <w:sz w:val="44"/>
          <w:szCs w:val="44"/>
        </w:rPr>
      </w:pPr>
      <w:r>
        <w:rPr>
          <w:rFonts w:hint="eastAsia" w:ascii="黑体" w:hAnsi="黑体" w:eastAsia="黑体" w:cs="黑体"/>
          <w:b/>
          <w:color w:val="auto"/>
          <w:kern w:val="0"/>
          <w:sz w:val="44"/>
          <w:szCs w:val="44"/>
        </w:rPr>
        <w:t>2021年部门预算说明</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黑体" w:hAnsi="黑体" w:eastAsia="黑体" w:cs="黑体"/>
          <w:b/>
          <w:color w:val="auto"/>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bCs/>
          <w:color w:val="auto"/>
          <w:kern w:val="0"/>
          <w:sz w:val="32"/>
          <w:szCs w:val="32"/>
        </w:rPr>
      </w:pPr>
      <w:r>
        <w:rPr>
          <w:rFonts w:eastAsia="黑体"/>
          <w:bCs/>
          <w:color w:val="auto"/>
          <w:kern w:val="0"/>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
          <w:color w:val="auto"/>
          <w:sz w:val="32"/>
          <w:szCs w:val="32"/>
        </w:rPr>
      </w:pPr>
      <w:r>
        <w:rPr>
          <w:rFonts w:hint="eastAsia" w:ascii="仿宋" w:hAnsi="仿宋" w:eastAsia="仿宋" w:cs="仿宋"/>
          <w:b/>
          <w:color w:val="auto"/>
          <w:sz w:val="32"/>
          <w:szCs w:val="32"/>
        </w:rPr>
        <w:t>（一）职能职责，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（1）贯彻执行党的基本路线，在区委领导下，参政议政，发挥民主监督作用。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（2）宣传、贯彻党和国家的方针、政策，加强和改进思想政治工作，教育会员“爱国、敬业、守法”，提高会员素质，培养骨干分子队伍。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（3）组织和指导基层商会工作，加强基层组织的建设和管理。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（4）代表并维护会员的合法权益，反映会员的意见、要求和建议，协调关系，调解经济纠纷。</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（5）做好非公有制经济代表人士政治安排的推荐工作。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（6）引导会员积极参加经济建设，促进区域非公有制经济健康发展，促进地区公益事业发展，在会员与政府之间发挥桥梁作用。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（7）增进与港澳台胞和世界各国工商社团及工商界人士的联系和友谊，加强与各级工商联组织联系，促进资源共享和地区经济、技术和贸易合作的发展，协助区政府引进资金、技术和人才。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（8）为会员提供信息、科技、管理、法律、会计、审计、融资、交通、咨询等多种形式服务。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（9）承办区委、区政府和上级工商联及有关部门交办的其它工作。</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
          <w:color w:val="auto"/>
          <w:sz w:val="32"/>
          <w:szCs w:val="32"/>
        </w:rPr>
      </w:pPr>
      <w:r>
        <w:rPr>
          <w:rFonts w:hint="eastAsia" w:ascii="仿宋" w:hAnsi="仿宋" w:eastAsia="仿宋" w:cs="仿宋"/>
          <w:b/>
          <w:color w:val="auto"/>
          <w:sz w:val="32"/>
          <w:szCs w:val="32"/>
        </w:rPr>
        <w:t>（二）机构设置。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（1）部门设置。本部门开福区工商业联合会本级、没有内设机构（不设立科室，有办公室1个）和0个二级机构组成所有本级全部纳入开福区工商业联合会部门预决算统一核算。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（2）人员情况。本部门编制数3人，在职人数6人，其中：在岗人数6人；编外长期聘用人员2人；离退休人数1人，其中离休人员0人，退休人员1人（社保发放工资）。</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bCs/>
          <w:color w:val="auto"/>
          <w:kern w:val="0"/>
          <w:sz w:val="32"/>
          <w:szCs w:val="32"/>
        </w:rPr>
      </w:pPr>
      <w:r>
        <w:rPr>
          <w:rFonts w:hint="eastAsia" w:eastAsia="黑体"/>
          <w:bCs/>
          <w:color w:val="auto"/>
          <w:kern w:val="0"/>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本单位只有本级，没有其他二级预算单位，因此，纳入2021年部门预算编制范围的只有部门本级。</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bCs/>
          <w:color w:val="auto"/>
          <w:kern w:val="0"/>
          <w:sz w:val="32"/>
          <w:szCs w:val="32"/>
        </w:rPr>
      </w:pPr>
      <w:r>
        <w:rPr>
          <w:rFonts w:hint="eastAsia" w:eastAsia="黑体"/>
          <w:bCs/>
          <w:color w:val="auto"/>
          <w:kern w:val="0"/>
          <w:sz w:val="32"/>
          <w:szCs w:val="32"/>
        </w:rPr>
        <w:t>三、部门收支概况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2021年部门预算包括本级预算和所属单位预算在内的汇总情况。收入包括一般公共预算收入；支出既包括基本运行的经费，也包括《开福商海》编辑经费、工商界人士迎春会经费、工商联教育培训、调研、活动经费。</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auto"/>
          <w:kern w:val="0"/>
          <w:sz w:val="32"/>
          <w:szCs w:val="32"/>
        </w:rPr>
      </w:pPr>
      <w:r>
        <w:rPr>
          <w:rFonts w:hint="eastAsia" w:ascii="仿宋" w:hAnsi="仿宋" w:eastAsia="仿宋" w:cs="仿宋"/>
          <w:b/>
          <w:color w:val="auto"/>
          <w:kern w:val="0"/>
          <w:sz w:val="32"/>
          <w:szCs w:val="32"/>
        </w:rPr>
        <w:t>1、收入预算：</w:t>
      </w:r>
      <w:r>
        <w:rPr>
          <w:rFonts w:hint="eastAsia" w:ascii="仿宋" w:hAnsi="仿宋" w:eastAsia="仿宋" w:cs="仿宋"/>
          <w:bCs/>
          <w:color w:val="auto"/>
          <w:kern w:val="0"/>
          <w:sz w:val="32"/>
          <w:szCs w:val="32"/>
        </w:rPr>
        <w:t>包括一般公共预算、政府性基金、国有资本经营预算等财政拨款收入，以及经营收入、事业收入等单位资金。2021年本部门收入预算数259.54万元，其中，一般公共预算拨款259.54万元，政府性基金拨款0万元，纳入专户管理的非税收入0万元，事业单位经营服务收入0万元。收入较去年增加10.57万元，</w:t>
      </w:r>
      <w:r>
        <w:rPr>
          <w:rFonts w:hint="eastAsia" w:ascii="仿宋" w:hAnsi="仿宋" w:eastAsia="仿宋" w:cs="仿宋"/>
          <w:bCs/>
          <w:color w:val="auto"/>
          <w:kern w:val="0"/>
          <w:sz w:val="32"/>
          <w:szCs w:val="32"/>
          <w:highlight w:val="none"/>
        </w:rPr>
        <w:t>增长4.25%</w:t>
      </w:r>
      <w:r>
        <w:rPr>
          <w:rFonts w:hint="eastAsia" w:ascii="仿宋" w:hAnsi="仿宋" w:eastAsia="仿宋" w:cs="仿宋"/>
          <w:bCs/>
          <w:color w:val="auto"/>
          <w:kern w:val="0"/>
          <w:sz w:val="32"/>
          <w:szCs w:val="32"/>
        </w:rPr>
        <w:t>，主要是工资福利增加了11.06万元，商品和服务支出增加了0.44万元，对个人和家庭的补助1.07万元。项目收入减少了2万元。</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auto"/>
          <w:kern w:val="0"/>
          <w:sz w:val="32"/>
          <w:szCs w:val="32"/>
        </w:rPr>
      </w:pPr>
      <w:r>
        <w:rPr>
          <w:rFonts w:hint="eastAsia" w:ascii="仿宋" w:hAnsi="仿宋" w:eastAsia="仿宋" w:cs="仿宋"/>
          <w:b/>
          <w:color w:val="auto"/>
          <w:kern w:val="0"/>
          <w:sz w:val="32"/>
          <w:szCs w:val="32"/>
        </w:rPr>
        <w:t>2、支出预算：</w:t>
      </w:r>
      <w:r>
        <w:rPr>
          <w:rFonts w:hint="eastAsia" w:ascii="仿宋" w:hAnsi="仿宋" w:eastAsia="仿宋" w:cs="仿宋"/>
          <w:bCs/>
          <w:color w:val="auto"/>
          <w:kern w:val="0"/>
          <w:sz w:val="32"/>
          <w:szCs w:val="32"/>
        </w:rPr>
        <w:t>2021年本部门支出预算数259.54万元，其中，一般公共服务支出238.03万元，社会保障和就业支出7.17万元，住房保障支出14.34万元，本年支出预算数比上年增加10.57万元，增长4.25%。支出增加的主要原因是：工资福利增加了13.02万元，商品和服务支出增加了0.13万元，对个人和家庭的补助0.29万元。项目收入减少了2万元。</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bCs/>
          <w:color w:val="auto"/>
          <w:kern w:val="0"/>
          <w:sz w:val="32"/>
          <w:szCs w:val="32"/>
        </w:rPr>
      </w:pPr>
      <w:r>
        <w:rPr>
          <w:rFonts w:hint="eastAsia" w:eastAsia="黑体"/>
          <w:bCs/>
          <w:color w:val="auto"/>
          <w:kern w:val="0"/>
          <w:sz w:val="32"/>
          <w:szCs w:val="32"/>
        </w:rPr>
        <w:t>四、一般公共预算拨款支出预算</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2021年一般公共预算拨款收入259.54万元，</w:t>
      </w:r>
      <w:r>
        <w:rPr>
          <w:rFonts w:hint="eastAsia" w:ascii="仿宋" w:hAnsi="仿宋" w:eastAsia="仿宋" w:cs="仿宋"/>
          <w:color w:val="auto"/>
          <w:sz w:val="32"/>
          <w:szCs w:val="32"/>
          <w:highlight w:val="none"/>
        </w:rPr>
        <w:t>其中，一般公共服务支出238.03万元，占91.71%；</w:t>
      </w:r>
      <w:r>
        <w:rPr>
          <w:rFonts w:hint="eastAsia" w:eastAsia="仿宋_GB2312"/>
          <w:color w:val="auto"/>
          <w:sz w:val="32"/>
          <w:szCs w:val="32"/>
          <w:highlight w:val="none"/>
        </w:rPr>
        <w:t>社会保障和就业</w:t>
      </w:r>
      <w:r>
        <w:rPr>
          <w:rFonts w:hint="eastAsia" w:ascii="仿宋" w:hAnsi="仿宋" w:eastAsia="仿宋" w:cs="仿宋"/>
          <w:color w:val="auto"/>
          <w:sz w:val="32"/>
          <w:szCs w:val="32"/>
          <w:highlight w:val="none"/>
        </w:rPr>
        <w:t>7.17万元</w:t>
      </w:r>
      <w:r>
        <w:rPr>
          <w:rFonts w:hint="eastAsia" w:eastAsia="仿宋_GB2312"/>
          <w:color w:val="auto"/>
          <w:sz w:val="32"/>
          <w:szCs w:val="32"/>
          <w:highlight w:val="none"/>
        </w:rPr>
        <w:t>，</w:t>
      </w:r>
      <w:r>
        <w:rPr>
          <w:rFonts w:eastAsia="仿宋_GB2312"/>
          <w:color w:val="auto"/>
          <w:sz w:val="32"/>
          <w:szCs w:val="32"/>
          <w:highlight w:val="none"/>
        </w:rPr>
        <w:t>占</w:t>
      </w:r>
      <w:r>
        <w:rPr>
          <w:rFonts w:hint="eastAsia" w:ascii="仿宋" w:hAnsi="仿宋" w:eastAsia="仿宋" w:cs="仿宋"/>
          <w:color w:val="auto"/>
          <w:sz w:val="32"/>
          <w:szCs w:val="32"/>
          <w:highlight w:val="none"/>
        </w:rPr>
        <w:t>2.76</w:t>
      </w:r>
      <w:r>
        <w:rPr>
          <w:rFonts w:hint="eastAsia" w:eastAsia="仿宋_GB2312"/>
          <w:color w:val="auto"/>
          <w:sz w:val="32"/>
          <w:szCs w:val="32"/>
          <w:highlight w:val="none"/>
        </w:rPr>
        <w:t>%；卫生健康支出</w:t>
      </w:r>
      <w:r>
        <w:rPr>
          <w:rFonts w:hint="eastAsia" w:ascii="仿宋" w:hAnsi="仿宋" w:eastAsia="仿宋" w:cs="仿宋"/>
          <w:color w:val="auto"/>
          <w:sz w:val="32"/>
          <w:szCs w:val="32"/>
          <w:highlight w:val="none"/>
        </w:rPr>
        <w:t>0</w:t>
      </w:r>
      <w:r>
        <w:rPr>
          <w:rFonts w:hint="eastAsia" w:eastAsia="仿宋_GB2312"/>
          <w:color w:val="auto"/>
          <w:sz w:val="32"/>
          <w:szCs w:val="32"/>
          <w:highlight w:val="none"/>
        </w:rPr>
        <w:t>万元，</w:t>
      </w:r>
      <w:r>
        <w:rPr>
          <w:rFonts w:eastAsia="仿宋_GB2312"/>
          <w:color w:val="auto"/>
          <w:sz w:val="32"/>
          <w:szCs w:val="32"/>
          <w:highlight w:val="none"/>
        </w:rPr>
        <w:t>占</w:t>
      </w:r>
      <w:r>
        <w:rPr>
          <w:rFonts w:hint="eastAsia" w:ascii="仿宋" w:hAnsi="仿宋" w:eastAsia="仿宋" w:cs="仿宋"/>
          <w:color w:val="auto"/>
          <w:sz w:val="32"/>
          <w:szCs w:val="32"/>
          <w:highlight w:val="none"/>
        </w:rPr>
        <w:t>0</w:t>
      </w:r>
      <w:r>
        <w:rPr>
          <w:rFonts w:hint="eastAsia" w:eastAsia="仿宋_GB2312"/>
          <w:color w:val="auto"/>
          <w:sz w:val="32"/>
          <w:szCs w:val="32"/>
          <w:highlight w:val="none"/>
        </w:rPr>
        <w:t>%</w:t>
      </w:r>
      <w:r>
        <w:rPr>
          <w:rFonts w:eastAsia="仿宋_GB2312"/>
          <w:color w:val="auto"/>
          <w:sz w:val="32"/>
          <w:szCs w:val="32"/>
          <w:highlight w:val="none"/>
        </w:rPr>
        <w:t>；</w:t>
      </w:r>
      <w:r>
        <w:rPr>
          <w:rFonts w:hint="eastAsia" w:eastAsia="仿宋_GB2312"/>
          <w:color w:val="auto"/>
          <w:sz w:val="32"/>
          <w:szCs w:val="32"/>
          <w:highlight w:val="none"/>
        </w:rPr>
        <w:t>节能环保支出</w:t>
      </w:r>
      <w:r>
        <w:rPr>
          <w:rFonts w:hint="eastAsia" w:ascii="仿宋" w:hAnsi="仿宋" w:eastAsia="仿宋" w:cs="仿宋"/>
          <w:color w:val="auto"/>
          <w:sz w:val="32"/>
          <w:szCs w:val="32"/>
          <w:highlight w:val="none"/>
        </w:rPr>
        <w:t>0</w:t>
      </w:r>
      <w:r>
        <w:rPr>
          <w:rFonts w:hint="eastAsia" w:eastAsia="仿宋_GB2312"/>
          <w:color w:val="auto"/>
          <w:sz w:val="32"/>
          <w:szCs w:val="32"/>
          <w:highlight w:val="none"/>
        </w:rPr>
        <w:t>万元，</w:t>
      </w:r>
      <w:r>
        <w:rPr>
          <w:rFonts w:eastAsia="仿宋_GB2312"/>
          <w:color w:val="auto"/>
          <w:sz w:val="32"/>
          <w:szCs w:val="32"/>
          <w:highlight w:val="none"/>
        </w:rPr>
        <w:t>占</w:t>
      </w:r>
      <w:r>
        <w:rPr>
          <w:rFonts w:hint="eastAsia" w:ascii="仿宋" w:hAnsi="仿宋" w:eastAsia="仿宋" w:cs="仿宋"/>
          <w:color w:val="auto"/>
          <w:sz w:val="32"/>
          <w:szCs w:val="32"/>
          <w:highlight w:val="none"/>
        </w:rPr>
        <w:t>0</w:t>
      </w:r>
      <w:r>
        <w:rPr>
          <w:rFonts w:hint="eastAsia" w:eastAsia="仿宋_GB2312"/>
          <w:color w:val="auto"/>
          <w:sz w:val="32"/>
          <w:szCs w:val="32"/>
          <w:highlight w:val="none"/>
        </w:rPr>
        <w:t>%；住房保障支出</w:t>
      </w:r>
      <w:r>
        <w:rPr>
          <w:rFonts w:hint="eastAsia" w:ascii="仿宋" w:hAnsi="仿宋" w:eastAsia="仿宋" w:cs="仿宋"/>
          <w:color w:val="auto"/>
          <w:sz w:val="32"/>
          <w:szCs w:val="32"/>
          <w:highlight w:val="none"/>
        </w:rPr>
        <w:t>14.34</w:t>
      </w:r>
      <w:r>
        <w:rPr>
          <w:rFonts w:hint="eastAsia" w:eastAsia="仿宋_GB2312"/>
          <w:color w:val="auto"/>
          <w:sz w:val="32"/>
          <w:szCs w:val="32"/>
          <w:highlight w:val="none"/>
        </w:rPr>
        <w:t>万元，</w:t>
      </w:r>
      <w:r>
        <w:rPr>
          <w:rFonts w:eastAsia="仿宋_GB2312"/>
          <w:color w:val="auto"/>
          <w:sz w:val="32"/>
          <w:szCs w:val="32"/>
          <w:highlight w:val="none"/>
        </w:rPr>
        <w:t>占</w:t>
      </w:r>
      <w:r>
        <w:rPr>
          <w:rFonts w:hint="eastAsia" w:ascii="仿宋" w:hAnsi="仿宋" w:eastAsia="仿宋" w:cs="仿宋"/>
          <w:color w:val="auto"/>
          <w:sz w:val="32"/>
          <w:szCs w:val="32"/>
          <w:highlight w:val="none"/>
        </w:rPr>
        <w:t>5.53</w:t>
      </w:r>
      <w:r>
        <w:rPr>
          <w:rFonts w:hint="eastAsia" w:eastAsia="仿宋_GB2312"/>
          <w:color w:val="auto"/>
          <w:sz w:val="32"/>
          <w:szCs w:val="32"/>
          <w:highlight w:val="none"/>
        </w:rPr>
        <w:t>%</w:t>
      </w:r>
      <w:r>
        <w:rPr>
          <w:rFonts w:hint="eastAsia" w:ascii="仿宋" w:hAnsi="仿宋" w:eastAsia="仿宋" w:cs="仿宋"/>
          <w:color w:val="auto"/>
          <w:sz w:val="32"/>
          <w:szCs w:val="32"/>
          <w:highlight w:val="none"/>
        </w:rPr>
        <w:t>。</w:t>
      </w:r>
      <w:r>
        <w:rPr>
          <w:rFonts w:hint="eastAsia" w:ascii="仿宋" w:hAnsi="仿宋" w:eastAsia="仿宋" w:cs="仿宋"/>
          <w:bCs/>
          <w:color w:val="auto"/>
          <w:kern w:val="0"/>
          <w:sz w:val="32"/>
          <w:szCs w:val="32"/>
        </w:rPr>
        <w:t>具体安排情况如下：</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auto"/>
          <w:kern w:val="0"/>
          <w:sz w:val="32"/>
          <w:szCs w:val="32"/>
        </w:rPr>
      </w:pPr>
      <w:r>
        <w:rPr>
          <w:rFonts w:hint="eastAsia" w:ascii="仿宋" w:hAnsi="仿宋" w:eastAsia="仿宋" w:cs="仿宋"/>
          <w:b/>
          <w:color w:val="auto"/>
          <w:sz w:val="32"/>
          <w:szCs w:val="32"/>
        </w:rPr>
        <w:t>（一）</w:t>
      </w:r>
      <w:r>
        <w:rPr>
          <w:rFonts w:hint="eastAsia" w:ascii="仿宋" w:hAnsi="仿宋" w:eastAsia="仿宋" w:cs="仿宋"/>
          <w:b/>
          <w:color w:val="auto"/>
          <w:kern w:val="0"/>
          <w:sz w:val="32"/>
          <w:szCs w:val="32"/>
        </w:rPr>
        <w:t>基本支出：</w:t>
      </w:r>
      <w:r>
        <w:rPr>
          <w:rFonts w:hint="eastAsia" w:ascii="仿宋" w:hAnsi="仿宋" w:eastAsia="仿宋" w:cs="仿宋"/>
          <w:bCs/>
          <w:color w:val="auto"/>
          <w:kern w:val="0"/>
          <w:sz w:val="32"/>
          <w:szCs w:val="32"/>
        </w:rPr>
        <w:t>2021年预算数为218.54万元，是指为保障单位机构正常运转、完成日常工作任务而发生的各项支出，包括用于基本工资、津贴补贴等人员经费以及办公费、印刷费、水电费、办公设备购置等日常公用经费。</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auto"/>
          <w:kern w:val="0"/>
          <w:sz w:val="32"/>
          <w:szCs w:val="32"/>
        </w:rPr>
      </w:pPr>
      <w:r>
        <w:rPr>
          <w:rFonts w:hint="eastAsia" w:ascii="仿宋" w:hAnsi="仿宋" w:eastAsia="仿宋" w:cs="仿宋"/>
          <w:b/>
          <w:color w:val="auto"/>
          <w:sz w:val="32"/>
          <w:szCs w:val="32"/>
        </w:rPr>
        <w:t>（二）</w:t>
      </w:r>
      <w:r>
        <w:rPr>
          <w:rFonts w:hint="eastAsia" w:ascii="仿宋" w:hAnsi="仿宋" w:eastAsia="仿宋" w:cs="仿宋"/>
          <w:b/>
          <w:color w:val="auto"/>
          <w:kern w:val="0"/>
          <w:sz w:val="32"/>
          <w:szCs w:val="32"/>
        </w:rPr>
        <w:t>项目支出：</w:t>
      </w:r>
      <w:r>
        <w:rPr>
          <w:rFonts w:hint="eastAsia" w:ascii="仿宋" w:hAnsi="仿宋" w:eastAsia="仿宋" w:cs="仿宋"/>
          <w:bCs/>
          <w:color w:val="auto"/>
          <w:kern w:val="0"/>
          <w:sz w:val="32"/>
          <w:szCs w:val="32"/>
        </w:rPr>
        <w:t>2021年预算数为41万元，是指单位为完成特定行政工作任务或事业发展目标而发生的支出，其中：编辑《开福商海》杂志经费10万；工商界人士迎春会8万元；工商联教育培训、调研、活动经费13万元；非公企业服务工作经费10万元。</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bCs/>
          <w:color w:val="auto"/>
          <w:kern w:val="0"/>
          <w:sz w:val="32"/>
          <w:szCs w:val="32"/>
        </w:rPr>
      </w:pPr>
      <w:r>
        <w:rPr>
          <w:rFonts w:hint="eastAsia" w:eastAsia="黑体"/>
          <w:bCs/>
          <w:color w:val="auto"/>
          <w:kern w:val="0"/>
          <w:sz w:val="32"/>
          <w:szCs w:val="32"/>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2021年本部门政府性基金支出预算0万元。</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bCs/>
          <w:color w:val="auto"/>
          <w:kern w:val="0"/>
          <w:sz w:val="32"/>
          <w:szCs w:val="32"/>
        </w:rPr>
      </w:pPr>
      <w:r>
        <w:rPr>
          <w:rFonts w:hint="eastAsia" w:eastAsia="黑体"/>
          <w:bCs/>
          <w:color w:val="auto"/>
          <w:kern w:val="0"/>
          <w:sz w:val="32"/>
          <w:szCs w:val="32"/>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auto"/>
          <w:kern w:val="0"/>
          <w:sz w:val="32"/>
          <w:szCs w:val="32"/>
        </w:rPr>
      </w:pPr>
      <w:r>
        <w:rPr>
          <w:rFonts w:hint="eastAsia" w:ascii="仿宋" w:hAnsi="仿宋" w:eastAsia="仿宋" w:cs="仿宋"/>
          <w:b/>
          <w:color w:val="auto"/>
          <w:kern w:val="0"/>
          <w:sz w:val="32"/>
          <w:szCs w:val="32"/>
        </w:rPr>
        <w:t>（一）机关运行经费：</w:t>
      </w:r>
      <w:r>
        <w:rPr>
          <w:rFonts w:hint="eastAsia" w:ascii="仿宋" w:hAnsi="仿宋" w:eastAsia="仿宋" w:cs="仿宋"/>
          <w:bCs/>
          <w:color w:val="auto"/>
          <w:kern w:val="0"/>
          <w:sz w:val="32"/>
          <w:szCs w:val="32"/>
        </w:rPr>
        <w:t>2021年机关运行经费财政拨款预算22.26万元，比2020年预算增加0.44万元，增加</w:t>
      </w:r>
      <w:r>
        <w:rPr>
          <w:rFonts w:hint="eastAsia" w:ascii="仿宋" w:hAnsi="仿宋" w:eastAsia="仿宋" w:cs="仿宋"/>
          <w:bCs/>
          <w:color w:val="auto"/>
          <w:kern w:val="0"/>
          <w:sz w:val="32"/>
          <w:szCs w:val="32"/>
        </w:rPr>
        <w:t>2.02%</w:t>
      </w:r>
      <w:r>
        <w:rPr>
          <w:rFonts w:hint="eastAsia" w:ascii="仿宋" w:hAnsi="仿宋" w:eastAsia="仿宋" w:cs="仿宋"/>
          <w:bCs/>
          <w:color w:val="auto"/>
          <w:kern w:val="0"/>
          <w:sz w:val="32"/>
          <w:szCs w:val="32"/>
        </w:rPr>
        <w:t>，主要原因是财政预算统一提标。</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auto"/>
          <w:kern w:val="0"/>
          <w:sz w:val="32"/>
          <w:szCs w:val="32"/>
        </w:rPr>
      </w:pPr>
      <w:r>
        <w:rPr>
          <w:rFonts w:hint="eastAsia" w:ascii="仿宋" w:hAnsi="仿宋" w:eastAsia="仿宋" w:cs="仿宋"/>
          <w:b/>
          <w:color w:val="auto"/>
          <w:kern w:val="0"/>
          <w:sz w:val="32"/>
          <w:szCs w:val="32"/>
        </w:rPr>
        <w:t>（二）“三公”经费预算：</w:t>
      </w:r>
      <w:r>
        <w:rPr>
          <w:rFonts w:hint="eastAsia" w:ascii="仿宋" w:hAnsi="仿宋" w:eastAsia="仿宋" w:cs="仿宋"/>
          <w:bCs/>
          <w:color w:val="auto"/>
          <w:kern w:val="0"/>
          <w:sz w:val="32"/>
          <w:szCs w:val="32"/>
        </w:rPr>
        <w:t>2021年“三公”经费预算数为0.1万元，其中，公务接待费0.1万元，公务用车购置及运行费0万元（其中，公务用车购置费0万元，公务用车运行费0万元），因公出国（境）费0万元。2021年“三公”经费预算于较2020年持平，主要原因是计划的公务接待经费与上年一致。</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auto"/>
          <w:kern w:val="0"/>
          <w:sz w:val="32"/>
          <w:szCs w:val="32"/>
        </w:rPr>
      </w:pPr>
      <w:r>
        <w:rPr>
          <w:rFonts w:hint="eastAsia" w:ascii="仿宋" w:hAnsi="仿宋" w:eastAsia="仿宋" w:cs="仿宋"/>
          <w:b/>
          <w:color w:val="auto"/>
          <w:kern w:val="0"/>
          <w:sz w:val="32"/>
          <w:szCs w:val="32"/>
        </w:rPr>
        <w:t>（三）一般性支出情况：</w:t>
      </w:r>
      <w:r>
        <w:rPr>
          <w:rFonts w:hint="eastAsia" w:ascii="仿宋" w:hAnsi="仿宋" w:eastAsia="仿宋" w:cs="仿宋"/>
          <w:bCs/>
          <w:color w:val="auto"/>
          <w:kern w:val="0"/>
          <w:sz w:val="32"/>
          <w:szCs w:val="32"/>
        </w:rPr>
        <w:t> 2021年本部门会议费预算9万元，拟召开8次会议，人数1300余人次，内容为执委会、常委会、总商会班子成员会、换届动员会、基层商会交流会、优化营商环境会议、基层秘书长会议等；培训费预算2.5万元，拟开展4次培训，人数余400人次，内容为五四青年节交流培训、商会负责人培训、团队建设培训、学习培训等。</w:t>
      </w:r>
      <w:r>
        <w:rPr>
          <w:rFonts w:hint="eastAsia" w:ascii="仿宋" w:hAnsi="仿宋" w:eastAsia="仿宋" w:cs="仿宋"/>
          <w:color w:val="auto"/>
          <w:sz w:val="32"/>
          <w:szCs w:val="32"/>
        </w:rPr>
        <w:t>无举办节庆、晚会、论坛、赛事等活动安排。</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auto"/>
          <w:kern w:val="0"/>
          <w:sz w:val="32"/>
          <w:szCs w:val="32"/>
        </w:rPr>
      </w:pPr>
      <w:r>
        <w:rPr>
          <w:rFonts w:hint="eastAsia" w:ascii="仿宋" w:hAnsi="仿宋" w:eastAsia="仿宋" w:cs="仿宋"/>
          <w:b/>
          <w:color w:val="auto"/>
          <w:kern w:val="0"/>
          <w:sz w:val="32"/>
          <w:szCs w:val="32"/>
        </w:rPr>
        <w:t>（四）政府采购情况：</w:t>
      </w:r>
      <w:r>
        <w:rPr>
          <w:rFonts w:hint="eastAsia" w:ascii="仿宋" w:hAnsi="仿宋" w:eastAsia="仿宋" w:cs="仿宋"/>
          <w:bCs/>
          <w:color w:val="auto"/>
          <w:kern w:val="0"/>
          <w:sz w:val="32"/>
          <w:szCs w:val="32"/>
        </w:rPr>
        <w:t>2021年单位政府采购预算总额3.1万元，其中：政府采购货物预算3.1万元、政府采购工程预算0万元、政府采购服务预算0万元。　</w:t>
      </w:r>
    </w:p>
    <w:p>
      <w:pPr>
        <w:keepNext w:val="0"/>
        <w:keepLines w:val="0"/>
        <w:pageBreakBefore w:val="0"/>
        <w:widowControl/>
        <w:kinsoku/>
        <w:wordWrap/>
        <w:overflowPunct/>
        <w:topLinePunct w:val="0"/>
        <w:autoSpaceDE/>
        <w:autoSpaceDN/>
        <w:bidi w:val="0"/>
        <w:adjustRightInd/>
        <w:snapToGrid/>
        <w:spacing w:line="600" w:lineRule="exact"/>
        <w:ind w:firstLine="658"/>
        <w:textAlignment w:val="auto"/>
        <w:rPr>
          <w:rFonts w:ascii="仿宋" w:hAnsi="仿宋" w:eastAsia="仿宋" w:cs="仿宋"/>
          <w:bCs/>
          <w:color w:val="auto"/>
          <w:kern w:val="0"/>
          <w:sz w:val="32"/>
          <w:szCs w:val="32"/>
          <w:u w:val="single"/>
        </w:rPr>
      </w:pPr>
      <w:r>
        <w:rPr>
          <w:rFonts w:hint="eastAsia" w:ascii="仿宋" w:hAnsi="仿宋" w:eastAsia="仿宋" w:cs="仿宋"/>
          <w:b/>
          <w:color w:val="auto"/>
          <w:sz w:val="32"/>
          <w:szCs w:val="32"/>
        </w:rPr>
        <w:t>（五）国有资产占用使用及新增资产配置情况：</w:t>
      </w:r>
      <w:r>
        <w:rPr>
          <w:rFonts w:hint="eastAsia" w:ascii="仿宋" w:hAnsi="仿宋" w:eastAsia="仿宋" w:cs="仿宋"/>
          <w:color w:val="auto"/>
          <w:sz w:val="32"/>
          <w:szCs w:val="32"/>
        </w:rPr>
        <w:t>截至2020年12月底，本部门</w:t>
      </w:r>
      <w:r>
        <w:rPr>
          <w:rFonts w:hint="eastAsia" w:ascii="仿宋" w:hAnsi="仿宋" w:eastAsia="仿宋" w:cs="仿宋"/>
          <w:bCs/>
          <w:color w:val="auto"/>
          <w:kern w:val="0"/>
          <w:sz w:val="32"/>
          <w:szCs w:val="32"/>
        </w:rPr>
        <w:t>共有公务用车0辆，其中，机要通信用车0辆，应急保障用车0辆，执法执勤用车0辆，特种专业技术用车0辆，其他按照规定配备的公务用车0辆；单位价值50万元以上通用设备0台，单位价值100万元以上专用设备0台。2021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auto"/>
          <w:kern w:val="0"/>
          <w:sz w:val="32"/>
          <w:szCs w:val="32"/>
        </w:rPr>
      </w:pPr>
      <w:r>
        <w:rPr>
          <w:rFonts w:hint="eastAsia" w:ascii="仿宋" w:hAnsi="仿宋" w:eastAsia="仿宋" w:cs="仿宋"/>
          <w:b/>
          <w:color w:val="auto"/>
          <w:kern w:val="0"/>
          <w:sz w:val="32"/>
          <w:szCs w:val="32"/>
        </w:rPr>
        <w:t>（六）绩效目标设置情况：</w:t>
      </w:r>
      <w:r>
        <w:rPr>
          <w:rFonts w:hint="eastAsia" w:ascii="仿宋" w:hAnsi="仿宋" w:eastAsia="仿宋" w:cs="仿宋"/>
          <w:bCs/>
          <w:color w:val="auto"/>
          <w:kern w:val="0"/>
          <w:sz w:val="32"/>
          <w:szCs w:val="32"/>
        </w:rPr>
        <w:t>2021年预算整体支出绩效目标259.54万元，其中：基本支出218.54万元，项目支出41万元。全部实行整体支出绩效目标管理，涉及一般公共预算当年拨款259.54万元。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2021年预算项目支出绩效目标41万元，其中：编辑《开福商海》杂志经费10万元；工商界人士迎春会8万元；工商联教育培训、调研、活动经费13万元；非公企业服务工作经费10万元，全部实行项目支出绩效目标管理，涉及一般公共预算当年拨款43万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1、一般公共预算拨款收入：指开福区财政当年拨付的资金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2、基本支出：指为保障机构正常运转、完成日常工作任务而发生的人员支出和公用支出。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3、项目支出：指在基本支出之外为完成特定行政任务和事业发展目标所发生的支出。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4、“三公”经费：纳入区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5、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ascii="仿宋" w:hAnsi="仿宋" w:eastAsia="仿宋" w:cs="仿宋"/>
          <w:b/>
          <w:color w:val="auto"/>
          <w:kern w:val="0"/>
          <w:sz w:val="36"/>
          <w:szCs w:val="36"/>
        </w:rPr>
      </w:pPr>
      <w:r>
        <w:rPr>
          <w:rFonts w:hint="eastAsia" w:ascii="黑体" w:hAnsi="黑体" w:eastAsia="黑体" w:cs="黑体"/>
          <w:b/>
          <w:color w:val="auto"/>
          <w:kern w:val="0"/>
          <w:sz w:val="44"/>
          <w:szCs w:val="44"/>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p>
    <w:p>
      <w:pPr>
        <w:rPr>
          <w:color w:val="auto"/>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abstractNum w:abstractNumId="1">
    <w:nsid w:val="38C37DA2"/>
    <w:multiLevelType w:val="singleLevel"/>
    <w:tmpl w:val="38C37DA2"/>
    <w:lvl w:ilvl="0" w:tentative="0">
      <w:start w:val="1"/>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A1MjkzYzk1ZDM0NDBhNDQ2OTdjYmExNjUyMGNmMmEifQ=="/>
  </w:docVars>
  <w:rsids>
    <w:rsidRoot w:val="0084195D"/>
    <w:rsid w:val="000E7AB2"/>
    <w:rsid w:val="00507FCD"/>
    <w:rsid w:val="006D2392"/>
    <w:rsid w:val="0084195D"/>
    <w:rsid w:val="008D62D7"/>
    <w:rsid w:val="00C564A8"/>
    <w:rsid w:val="00CF1EBA"/>
    <w:rsid w:val="234507C9"/>
    <w:rsid w:val="23B0428D"/>
    <w:rsid w:val="26E14CD4"/>
    <w:rsid w:val="2B8763A6"/>
    <w:rsid w:val="399C10E6"/>
    <w:rsid w:val="5814471C"/>
    <w:rsid w:val="66BE0505"/>
    <w:rsid w:val="6D937201"/>
    <w:rsid w:val="7E857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3 Char"/>
    <w:basedOn w:val="7"/>
    <w:link w:val="2"/>
    <w:qFormat/>
    <w:uiPriority w:val="9"/>
    <w:rPr>
      <w:rFonts w:ascii="宋体" w:hAnsi="宋体" w:eastAsia="宋体" w:cs="宋体"/>
      <w:b/>
      <w:bCs/>
      <w:kern w:val="0"/>
      <w:sz w:val="27"/>
      <w:szCs w:val="27"/>
    </w:rPr>
  </w:style>
  <w:style w:type="character" w:customStyle="1" w:styleId="9">
    <w:name w:val="kf_sj"/>
    <w:basedOn w:val="7"/>
    <w:qFormat/>
    <w:uiPriority w:val="0"/>
  </w:style>
  <w:style w:type="character" w:customStyle="1" w:styleId="10">
    <w:name w:val="kf_ly"/>
    <w:basedOn w:val="7"/>
    <w:qFormat/>
    <w:uiPriority w:val="0"/>
  </w:style>
  <w:style w:type="character" w:customStyle="1" w:styleId="11">
    <w:name w:val="页眉 Char"/>
    <w:basedOn w:val="7"/>
    <w:link w:val="4"/>
    <w:qFormat/>
    <w:uiPriority w:val="99"/>
    <w:rPr>
      <w:kern w:val="2"/>
      <w:sz w:val="18"/>
      <w:szCs w:val="18"/>
    </w:rPr>
  </w:style>
  <w:style w:type="character" w:customStyle="1" w:styleId="12">
    <w:name w:val="页脚 Char"/>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2962</Words>
  <Characters>3195</Characters>
  <Lines>23</Lines>
  <Paragraphs>6</Paragraphs>
  <TotalTime>1</TotalTime>
  <ScaleCrop>false</ScaleCrop>
  <LinksUpToDate>false</LinksUpToDate>
  <CharactersWithSpaces>3199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2022-06-28T13:10:00Z</dcterms:created>
  <dc:creator>Administrator</dc:creator>
  <cp:lastModifiedBy>GSL</cp:lastModifiedBy>
  <dcterms:modified xsi:type="dcterms:W3CDTF">2022-08-19T07:47:16Z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933C043F5D954EF782A782A9B2D19C01</vt:lpwstr>
  </property>
</Properties>
</file>