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ind w:right="1053" w:rightChars="376" w:firstLine="906" w:firstLineChars="206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财政局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部门（单位）整体支出绩效自评报告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720" w:firstLineChars="20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单位名称（盖章）：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一、基本情况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（一）部门基本情况</w:t>
      </w:r>
    </w:p>
    <w:p>
      <w:pPr>
        <w:autoSpaceDE w:val="0"/>
        <w:autoSpaceDN w:val="0"/>
        <w:spacing w:line="520" w:lineRule="exact"/>
        <w:ind w:left="640"/>
        <w:rPr>
          <w:rFonts w:hint="eastAsia" w:ascii="楷体_GB2312" w:eastAsia="楷体_GB2312" w:cs="仿宋"/>
          <w:b/>
          <w:sz w:val="32"/>
          <w:szCs w:val="32"/>
        </w:rPr>
      </w:pPr>
      <w:r>
        <w:rPr>
          <w:rFonts w:hint="eastAsia" w:ascii="楷体_GB2312" w:eastAsia="楷体_GB2312" w:cs="仿宋"/>
          <w:b/>
          <w:sz w:val="32"/>
          <w:szCs w:val="32"/>
          <w:lang w:val="en-US" w:eastAsia="zh-CN"/>
        </w:rPr>
        <w:t>1.</w:t>
      </w:r>
      <w:r>
        <w:rPr>
          <w:rFonts w:hint="eastAsia" w:ascii="楷体_GB2312" w:eastAsia="楷体_GB2312" w:cs="仿宋"/>
          <w:b/>
          <w:sz w:val="32"/>
          <w:szCs w:val="32"/>
        </w:rPr>
        <w:t>主要职能</w:t>
      </w:r>
    </w:p>
    <w:p>
      <w:pPr>
        <w:autoSpaceDE w:val="0"/>
        <w:autoSpaceDN w:val="0"/>
        <w:spacing w:line="580" w:lineRule="exact"/>
        <w:ind w:firstLine="640" w:firstLineChars="200"/>
        <w:rPr>
          <w:rFonts w:hint="eastAsia" w:ascii="仿宋_GB2312" w:hAnsi="仿宋" w:cs="宋体"/>
          <w:color w:val="000000"/>
          <w:sz w:val="32"/>
          <w:szCs w:val="32"/>
        </w:rPr>
      </w:pPr>
      <w:r>
        <w:rPr>
          <w:rFonts w:hint="eastAsia" w:ascii="仿宋_GB2312" w:hAnsi="仿宋" w:cs="宋体"/>
          <w:color w:val="000000"/>
          <w:sz w:val="32"/>
          <w:szCs w:val="32"/>
          <w:shd w:val="clear" w:color="auto" w:fill="FFFFFF"/>
        </w:rPr>
        <w:t>长沙市开福</w:t>
      </w:r>
      <w:r>
        <w:rPr>
          <w:rFonts w:hint="eastAsia" w:ascii="仿宋_GB2312"/>
          <w:sz w:val="32"/>
          <w:szCs w:val="32"/>
        </w:rPr>
        <w:t>区财政局是区人民政府综合管理全区财政收支、主管财政政策、实施财政监督、参与对国民经济宏观调控的职能部门。主要职责是：贯彻执行国家财政政策和法规；编制、执行全区年度财政预决算；制定全区财政管理体制和有关预算管理制度；参与全区宏观经济的决策管理，加强对财政资金使用的调控和监督；管理区级地方财政各项收入；负责全区国有资产监管、政府采购监管、国库集中支付、街道财务监管、会计管理、金融债务、财务监督检查等工作。</w:t>
      </w:r>
    </w:p>
    <w:p>
      <w:pPr>
        <w:autoSpaceDE w:val="0"/>
        <w:autoSpaceDN w:val="0"/>
        <w:spacing w:line="580" w:lineRule="exact"/>
        <w:ind w:firstLine="643" w:firstLineChars="200"/>
        <w:rPr>
          <w:rFonts w:hint="eastAsia" w:ascii="楷体_GB2312" w:eastAsia="楷体_GB2312" w:cs="仿宋"/>
          <w:b/>
          <w:sz w:val="32"/>
          <w:szCs w:val="32"/>
        </w:rPr>
      </w:pPr>
      <w:r>
        <w:rPr>
          <w:rFonts w:hint="eastAsia" w:ascii="楷体_GB2312" w:eastAsia="楷体_GB2312" w:cs="仿宋"/>
          <w:b/>
          <w:sz w:val="32"/>
          <w:szCs w:val="32"/>
          <w:lang w:val="en-US" w:eastAsia="zh-CN"/>
        </w:rPr>
        <w:t>2.</w:t>
      </w:r>
      <w:r>
        <w:rPr>
          <w:rFonts w:hint="eastAsia" w:ascii="楷体_GB2312" w:eastAsia="楷体_GB2312" w:cs="仿宋"/>
          <w:b/>
          <w:sz w:val="32"/>
          <w:szCs w:val="32"/>
        </w:rPr>
        <w:t>机构情况</w:t>
      </w:r>
    </w:p>
    <w:p>
      <w:pPr>
        <w:autoSpaceDE w:val="0"/>
        <w:autoSpaceDN w:val="0"/>
        <w:spacing w:line="580" w:lineRule="exact"/>
        <w:ind w:firstLine="640" w:firstLineChars="200"/>
        <w:rPr>
          <w:rFonts w:hint="eastAsia" w:ascii="楷体_GB2312" w:eastAsia="楷体_GB2312" w:cs="仿宋"/>
          <w:b/>
          <w:sz w:val="32"/>
          <w:szCs w:val="32"/>
        </w:rPr>
      </w:pPr>
      <w:r>
        <w:rPr>
          <w:rFonts w:hint="eastAsia" w:ascii="仿宋_GB2312"/>
          <w:sz w:val="32"/>
          <w:szCs w:val="32"/>
        </w:rPr>
        <w:t>开福区财政局内设办公室、预算国库科、行政教科文科、税政法规科、会计监督与绩效评价科、经济建设科、街道财政管理科、金融债务科等8个科室和国库集中支付中心、财政统发工资中心、财政评审中心、财政事务中心和国有资产事务中心等5个二级机构。</w:t>
      </w:r>
    </w:p>
    <w:p>
      <w:pPr>
        <w:autoSpaceDE w:val="0"/>
        <w:autoSpaceDN w:val="0"/>
        <w:spacing w:line="580" w:lineRule="exact"/>
        <w:ind w:firstLine="643" w:firstLineChars="200"/>
        <w:rPr>
          <w:rFonts w:hint="eastAsia" w:ascii="楷体_GB2312" w:eastAsia="楷体_GB2312" w:cs="仿宋"/>
          <w:b/>
          <w:sz w:val="32"/>
          <w:szCs w:val="32"/>
        </w:rPr>
      </w:pPr>
      <w:r>
        <w:rPr>
          <w:rFonts w:hint="eastAsia" w:ascii="楷体_GB2312" w:eastAsia="楷体_GB2312" w:cs="仿宋"/>
          <w:b/>
          <w:sz w:val="32"/>
          <w:szCs w:val="32"/>
          <w:lang w:val="en-US" w:eastAsia="zh-CN"/>
        </w:rPr>
        <w:t>3.</w:t>
      </w:r>
      <w:r>
        <w:rPr>
          <w:rFonts w:hint="eastAsia" w:ascii="楷体_GB2312" w:eastAsia="楷体_GB2312" w:cs="仿宋"/>
          <w:b/>
          <w:sz w:val="32"/>
          <w:szCs w:val="32"/>
        </w:rPr>
        <w:t>人员情况</w:t>
      </w:r>
    </w:p>
    <w:p>
      <w:pPr>
        <w:autoSpaceDE w:val="0"/>
        <w:autoSpaceDN w:val="0"/>
        <w:spacing w:line="580" w:lineRule="exact"/>
        <w:ind w:firstLine="640" w:firstLineChars="200"/>
        <w:rPr>
          <w:rFonts w:hint="eastAsia" w:ascii="仿宋_GB2312" w:cs="仿宋"/>
          <w:sz w:val="32"/>
          <w:szCs w:val="32"/>
        </w:rPr>
      </w:pPr>
      <w:r>
        <w:rPr>
          <w:rFonts w:hint="eastAsia" w:ascii="仿宋_GB2312" w:hAnsi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"/>
          <w:color w:val="000000"/>
          <w:sz w:val="32"/>
          <w:szCs w:val="32"/>
          <w:shd w:val="clear" w:color="auto" w:fill="FFFFFF"/>
        </w:rPr>
        <w:t>年本单位编制数39人，在职人数3</w:t>
      </w:r>
      <w:r>
        <w:rPr>
          <w:rFonts w:hint="eastAsia" w:ascii="仿宋_GB2312" w:hAnsi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/>
          <w:color w:val="000000"/>
          <w:sz w:val="32"/>
          <w:szCs w:val="32"/>
          <w:shd w:val="clear" w:color="auto" w:fill="FFFFFF"/>
        </w:rPr>
        <w:t>人，其中在岗人数3</w:t>
      </w:r>
      <w:r>
        <w:rPr>
          <w:rFonts w:hint="eastAsia" w:ascii="仿宋_GB2312" w:hAnsi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/>
          <w:color w:val="000000"/>
          <w:sz w:val="32"/>
          <w:szCs w:val="32"/>
          <w:shd w:val="clear" w:color="auto" w:fill="FFFFFF"/>
        </w:rPr>
        <w:t>人；编外长期聘用人员4</w:t>
      </w:r>
      <w:r>
        <w:rPr>
          <w:rFonts w:hint="eastAsia" w:ascii="仿宋_GB2312" w:hAnsi="仿宋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"/>
          <w:color w:val="000000"/>
          <w:sz w:val="32"/>
          <w:szCs w:val="32"/>
          <w:shd w:val="clear" w:color="auto" w:fill="FFFFFF"/>
        </w:rPr>
        <w:t>人（其中20人为专业评审员）；离退休人数13人，其中离休人员0人，退休人员13人。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部门（单位）年度整体支出绩效目标，</w:t>
      </w:r>
      <w:r>
        <w:rPr>
          <w:rFonts w:hint="eastAsia" w:eastAsia="楷体_GB2312"/>
          <w:b/>
          <w:sz w:val="32"/>
          <w:szCs w:val="32"/>
        </w:rPr>
        <w:t>区</w:t>
      </w:r>
      <w:r>
        <w:rPr>
          <w:rFonts w:eastAsia="楷体_GB2312"/>
          <w:b/>
          <w:sz w:val="32"/>
          <w:szCs w:val="32"/>
        </w:rPr>
        <w:t>级专项资金绩效目标、其他项目支出（除</w:t>
      </w:r>
      <w:r>
        <w:rPr>
          <w:rFonts w:hint="eastAsia" w:eastAsia="楷体_GB2312"/>
          <w:b/>
          <w:sz w:val="32"/>
          <w:szCs w:val="32"/>
        </w:rPr>
        <w:t>区</w:t>
      </w:r>
      <w:r>
        <w:rPr>
          <w:rFonts w:eastAsia="楷体_GB2312"/>
          <w:b/>
          <w:sz w:val="32"/>
          <w:szCs w:val="32"/>
        </w:rPr>
        <w:t>级专项资金以外）绩效目标</w:t>
      </w:r>
    </w:p>
    <w:p>
      <w:pPr>
        <w:pBdr>
          <w:bottom w:val="single" w:color="FFFFFF" w:sz="4" w:space="11"/>
        </w:pBdr>
        <w:adjustRightInd w:val="0"/>
        <w:snapToGrid w:val="0"/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（一）着力“增收”，充分发挥积极财政政策效应。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一是加强财政收入预期管理。</w:t>
      </w:r>
      <w:r>
        <w:rPr>
          <w:rFonts w:hint="eastAsia" w:ascii="仿宋_GB2312" w:hAnsi="仿宋" w:eastAsia="仿宋_GB2312" w:cs="仿宋"/>
          <w:sz w:val="32"/>
          <w:szCs w:val="32"/>
        </w:rPr>
        <w:t>密切关注经济形势变化，加强对财政运行的监测分析，推动财政政策与产业、投资、消费等政策协同发力；结合年度目标，提前制定收入预期计划，督促收入征管部门和街道紧紧围绕预期目标加强收入征管，确保2022年全区一般公共预算收入增长10%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二是深入推进财源工程建设。</w:t>
      </w:r>
      <w:r>
        <w:rPr>
          <w:rFonts w:hint="eastAsia" w:ascii="仿宋_GB2312" w:hAnsi="仿宋" w:eastAsia="仿宋_GB2312" w:cs="仿宋"/>
          <w:sz w:val="32"/>
          <w:szCs w:val="32"/>
        </w:rPr>
        <w:t>根据《开福区财源建设工程实施方案》，督促各单位落实责任，充分挖掘税源潜力，着力涵养财源，做大增量、优化存量，逐步实现“两个提升”：税收质量稳步提升、税收收入占GDP的比重逐步提升，为经济发展增强后劲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三是巩固拓展减税降费成效。</w:t>
      </w:r>
      <w:r>
        <w:rPr>
          <w:rFonts w:hint="eastAsia" w:ascii="仿宋_GB2312" w:hAnsi="仿宋" w:eastAsia="仿宋_GB2312" w:cs="仿宋"/>
          <w:sz w:val="32"/>
          <w:szCs w:val="32"/>
        </w:rPr>
        <w:t>全面贯彻落实普惠性减税降费和结构性减税相结合的政策措施，开展多种形式的政策宣传解读活动；同时，跟踪政策执行效果，切实减轻企业负担，支持实体经济可持续发展。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四是强化政府债券撬动作用</w:t>
      </w:r>
      <w:r>
        <w:rPr>
          <w:rFonts w:hint="eastAsia" w:ascii="仿宋_GB2312" w:hAnsi="仿宋" w:eastAsia="仿宋_GB2312" w:cs="仿宋"/>
          <w:sz w:val="32"/>
          <w:szCs w:val="32"/>
        </w:rPr>
        <w:t>。在确保债务风险可控的前提下，用足用好债券额度，优化债券投向结构，加大政府债券对重点领域和薄弱环节的支持力度，提高债券资金使用效率效益，形成对经济的有效拉动。</w:t>
      </w:r>
    </w:p>
    <w:p>
      <w:pPr>
        <w:pBdr>
          <w:bottom w:val="single" w:color="FFFFFF" w:sz="4" w:space="11"/>
        </w:pBdr>
        <w:adjustRightInd w:val="0"/>
        <w:snapToGrid w:val="0"/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（二）着力“节支”，确保财政平稳持续运行。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一是落实过“紧日子”要求。</w:t>
      </w:r>
      <w:r>
        <w:rPr>
          <w:rFonts w:hint="eastAsia" w:ascii="仿宋_GB2312" w:hAnsi="仿宋" w:eastAsia="仿宋_GB2312" w:cs="仿宋"/>
          <w:sz w:val="32"/>
          <w:szCs w:val="32"/>
        </w:rPr>
        <w:t>完善能增能减、有保有压的分配机制，深度调整支出结构，深度挖掘内部潜力，从严从紧管好财政支出，厉行节约办一切事业。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二是强化资金统筹。</w:t>
      </w:r>
      <w:r>
        <w:rPr>
          <w:rFonts w:hint="eastAsia" w:ascii="仿宋_GB2312" w:hAnsi="仿宋" w:eastAsia="仿宋_GB2312" w:cs="仿宋"/>
          <w:sz w:val="32"/>
          <w:szCs w:val="32"/>
        </w:rPr>
        <w:t>坚持系统思维，加强财政资源统筹，对跨部门、用途相近、使用低效的专项资金加大整合力度，避免资金使用“碎片化”“低效化”，使有限的财政资金发挥最大的效益。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三是强化绩效管理</w:t>
      </w:r>
      <w:r>
        <w:rPr>
          <w:rFonts w:hint="eastAsia" w:ascii="仿宋_GB2312" w:hAnsi="仿宋" w:eastAsia="仿宋_GB2312" w:cs="仿宋"/>
          <w:sz w:val="32"/>
          <w:szCs w:val="32"/>
        </w:rPr>
        <w:t>。强化预算绩效管理保障体系，构建全方位、全过程、全覆盖的预算绩效管理格局，使绩效融入预算，让绩效服务预算；积极探索开展事前绩效评估工作，建立财政审计协同联动机制，推进财政资金安全高效使用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四是强化财政评审。</w:t>
      </w:r>
      <w:r>
        <w:rPr>
          <w:rFonts w:hint="eastAsia" w:ascii="仿宋_GB2312" w:hAnsi="仿宋" w:eastAsia="仿宋_GB2312" w:cs="仿宋"/>
          <w:sz w:val="32"/>
          <w:szCs w:val="32"/>
        </w:rPr>
        <w:t>坚持有规可依、有规必依，严格执行财政评审相关规定，落实三审复核制，优化财政评审流程，确保评审工作规范有序、优质高效。</w:t>
      </w:r>
    </w:p>
    <w:p>
      <w:pPr>
        <w:pBdr>
          <w:bottom w:val="single" w:color="FFFFFF" w:sz="4" w:space="11"/>
        </w:pBdr>
        <w:adjustRightInd w:val="0"/>
        <w:snapToGrid w:val="0"/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（三）着力“提质”，持续深化财政管理改革。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一是推进预算改革。</w:t>
      </w:r>
      <w:r>
        <w:rPr>
          <w:rFonts w:hint="eastAsia" w:ascii="仿宋_GB2312" w:hAnsi="仿宋" w:eastAsia="仿宋_GB2312" w:cs="仿宋"/>
          <w:sz w:val="32"/>
          <w:szCs w:val="32"/>
        </w:rPr>
        <w:t>依托“制度+技术”为预算管理赋能，通过“预算一体化”平台建设，实现区、街预算单位“全区一张网”，在“同一标准、同一平台、同一系统”下开展全链条财政预算业务管理，对财政资金分配、拨付、使用、核算等实施全流程监管，确保财政资金从下达源头到使用末端“有源可溯、有迹可查”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二是推进国企改革</w:t>
      </w:r>
      <w:r>
        <w:rPr>
          <w:rFonts w:hint="eastAsia" w:ascii="仿宋_GB2312" w:hAnsi="仿宋" w:eastAsia="仿宋_GB2312" w:cs="仿宋"/>
          <w:sz w:val="32"/>
          <w:szCs w:val="32"/>
        </w:rPr>
        <w:t>。按照《长沙市开福区国企改革三年行动实施方案(2020-2022年)》精神，全面推进区属国有企业改革，探索经营性资产管理新模式，力争2022年前全面完成国企改革任务。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三是优化支出结构。</w:t>
      </w:r>
      <w:r>
        <w:rPr>
          <w:rFonts w:hint="eastAsia" w:ascii="仿宋_GB2312" w:hAnsi="仿宋" w:eastAsia="仿宋_GB2312" w:cs="仿宋"/>
          <w:sz w:val="32"/>
          <w:szCs w:val="32"/>
        </w:rPr>
        <w:t>树牢过“紧日子”思想，进一步压缩非刚性、非重点支出和一般性支出，从严从紧核定“三公”经费，硬化预算刚性约束，落实“三保”任务。强化预算刚性执行，做到预算编制更精细、资金调整更坚决、政策安排更科学。</w:t>
      </w:r>
    </w:p>
    <w:p>
      <w:pPr>
        <w:pBdr>
          <w:bottom w:val="single" w:color="FFFFFF" w:sz="4" w:space="11"/>
        </w:pBdr>
        <w:adjustRightInd w:val="0"/>
        <w:snapToGrid w:val="0"/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（四）着力“增效”，促进财政资源有效配置。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一是积极向上争资。</w:t>
      </w:r>
      <w:r>
        <w:rPr>
          <w:rFonts w:hint="eastAsia" w:ascii="仿宋_GB2312" w:hAnsi="仿宋" w:eastAsia="仿宋_GB2312" w:cs="仿宋"/>
          <w:sz w:val="32"/>
          <w:szCs w:val="32"/>
        </w:rPr>
        <w:t>坚持全区一盘棋，积极向上争取资金支持，增强托底保障能力，切实兜牢“三保”底线。一方面争取条线部门资金。加强部门联动，细化争资内容，科学下达争资任务，弥补我区重大项目资金缺口。另一方面争取资金调度支持。继续加大争取市财政资金调度力度，严守国库资金管理底线，确保区级财政平稳运行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二是抓好资金盘活。</w:t>
      </w:r>
      <w:r>
        <w:rPr>
          <w:rFonts w:hint="eastAsia" w:ascii="仿宋_GB2312" w:hAnsi="仿宋" w:eastAsia="仿宋_GB2312" w:cs="仿宋"/>
          <w:sz w:val="32"/>
          <w:szCs w:val="32"/>
        </w:rPr>
        <w:t>加快盘活财政存量资金，从严管理财政结余结转资金，将支出进度滞后部分调整用于保障区委政府的核心工作和重点支出。加大存量资金与新增预算、结转资金与年度预算的统筹力度，加快建立中长期预算平衡机制，健全跨年度预算平衡机制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三是强化预算管理。</w:t>
      </w:r>
      <w:r>
        <w:rPr>
          <w:rFonts w:hint="eastAsia" w:ascii="仿宋_GB2312" w:hAnsi="仿宋" w:eastAsia="仿宋_GB2312" w:cs="仿宋"/>
          <w:sz w:val="32"/>
          <w:szCs w:val="32"/>
        </w:rPr>
        <w:t>全面推进“零基预算”，切实打破基数概念和固化格局；加强对预算编制的指导，坚持资金跟着政策走，所有支出先定政策，后定资金；完善支出标准体系，提升预算科学性和精准度。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四是保障改善民生。</w:t>
      </w:r>
      <w:r>
        <w:rPr>
          <w:rFonts w:hint="eastAsia" w:ascii="仿宋_GB2312" w:hAnsi="仿宋" w:eastAsia="仿宋_GB2312" w:cs="仿宋"/>
          <w:sz w:val="32"/>
          <w:szCs w:val="32"/>
        </w:rPr>
        <w:t>紧扣“六稳”、“六保”要求，确保民生投入占一般公共预算80%以上；集中可用财力，重点保障政府改革、惠及民生的各项支出和全区重点项目支出。推进为民办实事，促进教育公平和教育事业健康发展，加强城乡基本养老保险、最低生活保障和基层医疗体系建设，推动民生事业稳步发展。</w:t>
      </w:r>
    </w:p>
    <w:p>
      <w:pPr>
        <w:pBdr>
          <w:bottom w:val="single" w:color="FFFFFF" w:sz="4" w:space="11"/>
        </w:pBdr>
        <w:adjustRightInd w:val="0"/>
        <w:snapToGrid w:val="0"/>
        <w:spacing w:line="58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（五）着力“风控”，防范化解财政运行风险。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一是加强财政资金监管。</w:t>
      </w:r>
      <w:r>
        <w:rPr>
          <w:rFonts w:hint="eastAsia" w:ascii="仿宋_GB2312" w:hAnsi="仿宋" w:eastAsia="仿宋_GB2312" w:cs="仿宋"/>
          <w:sz w:val="32"/>
          <w:szCs w:val="32"/>
        </w:rPr>
        <w:t>按照《开福区财政资金审批管理办法》要求，加强专项资金管理，进一步提高资金使用绩效。树立财政监督“一盘棋”思想，提高财政监督的针对性和精准度，从由“事后监督”向“实时、持续性监督”转变，从“监督为主”向“监督与服务双轮驱动”转变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二是持续防控债务风险</w:t>
      </w:r>
      <w:r>
        <w:rPr>
          <w:rFonts w:hint="eastAsia" w:ascii="仿宋_GB2312" w:hAnsi="仿宋" w:eastAsia="仿宋_GB2312" w:cs="仿宋"/>
          <w:sz w:val="32"/>
          <w:szCs w:val="32"/>
        </w:rPr>
        <w:t>。既要眼光向上用好国家相关政策，又要眼光向内全力做好债务化解管控工作；强化预算和限额管理，坚决遏制隐性债务新增，稳妥化解存量隐性债务，确保不出现债务违约、融资违规、资金断链风险；指导平台公司加快市场化转型，推动“公司转型、债务转化”，牢牢守住不发生系统性风险的底线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三是加强基层财务监管。</w:t>
      </w:r>
      <w:r>
        <w:rPr>
          <w:rFonts w:hint="eastAsia" w:ascii="仿宋_GB2312" w:hAnsi="仿宋" w:eastAsia="仿宋_GB2312" w:cs="仿宋"/>
          <w:sz w:val="32"/>
          <w:szCs w:val="32"/>
        </w:rPr>
        <w:t>进一步明确街道在收入组织、预算执行、风险管控等方面的要求，确保基层财政平稳高效运行。按照进一步加强村（社区）财务管理工作的有关规定，全面规范村（社区）预算管理、财务收支、债权债务、资产资源等方面的管理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四是确保干部资金安全。</w:t>
      </w:r>
      <w:r>
        <w:rPr>
          <w:rFonts w:hint="eastAsia" w:ascii="仿宋_GB2312" w:hAnsi="仿宋" w:eastAsia="仿宋_GB2312" w:cs="仿宋"/>
          <w:sz w:val="32"/>
          <w:szCs w:val="32"/>
        </w:rPr>
        <w:t>将全面从严治党要求贯穿到财政各领域、全过程；开展专题廉政党课、观看警示教育片等多种形式教育，引导教育财政干部坚守底线、不碰高压线；进一步完善财政内控制度，经常性开展监督检查，确保财政资金和财政干部“两个安全”。</w:t>
      </w:r>
    </w:p>
    <w:p>
      <w:pPr>
        <w:pBdr>
          <w:bottom w:val="single" w:color="FFFFFF" w:sz="4" w:space="11"/>
        </w:pBd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二、一般公共预算支出情况</w:t>
      </w:r>
    </w:p>
    <w:p>
      <w:pPr>
        <w:pBdr>
          <w:bottom w:val="single" w:color="FFFFFF" w:sz="4" w:space="11"/>
        </w:pBd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（一）基本支出情况</w:t>
      </w:r>
    </w:p>
    <w:p>
      <w:pPr>
        <w:pBdr>
          <w:bottom w:val="single" w:color="FFFFFF" w:sz="4" w:space="11"/>
        </w:pBd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2022年本部门基本支出预算数1493.29万元，主要是为保障部门正常运转、完成日常工作任务而发生的各项支出，包括用于基本工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资、津贴补贴等人员经费以及办公费、印刷费、水电费、办公设备购置等公用经费。</w:t>
      </w:r>
    </w:p>
    <w:p>
      <w:pPr>
        <w:numPr>
          <w:ilvl w:val="0"/>
          <w:numId w:val="1"/>
        </w:numPr>
        <w:pBdr>
          <w:bottom w:val="single" w:color="FFFFFF" w:sz="4" w:space="11"/>
        </w:pBdr>
        <w:adjustRightInd w:val="0"/>
        <w:snapToGrid w:val="0"/>
        <w:spacing w:line="580" w:lineRule="exact"/>
        <w:ind w:left="0" w:leftChars="0"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项目支出情况</w:t>
      </w:r>
    </w:p>
    <w:p>
      <w:pPr>
        <w:numPr>
          <w:numId w:val="0"/>
        </w:numPr>
        <w:pBdr>
          <w:bottom w:val="single" w:color="FFFFFF" w:sz="4" w:space="11"/>
        </w:pBd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2022年本部门项目支出预算675.98万元，主要是部门为完成特定行政工作任务或事业发展目标而发生的支出，包括有关事业发展专项、专项业务费、基本建设支出等，其中：一般公共服务支出670.8万元，财政网络运营维护费支出60万元，主要用于全区财政业务各条线上网络运维的支出等；财政投资评审中心工作经费支出371.8万元，主要用于财政评审中心的专家人员经费和工作经费等方面；中介机构服务费100万元，用于财政局购买第三方中介机构的服务；三资工作专项经费44万元，用于盘活三资工作的经费开支；化债办工作经费35万元，用于我局牵头化解债务工作经费开支；财政统发工资中心工作经费10万元，用于财政统发工资中心部门的日常办公经费开支；财政事务中心工作经费18万元，用于财政事务中心日常办公经费开支；国库集中支付中心工作经费10万元，用于国库集中支付中心日常办公经费开支等方面；社会保障和就业支出5.18万元，主要用于退休干部职业年金一次性做实等方面。</w:t>
      </w:r>
    </w:p>
    <w:p>
      <w:pPr>
        <w:numPr>
          <w:ilvl w:val="0"/>
          <w:numId w:val="2"/>
        </w:numPr>
        <w:pBdr>
          <w:bottom w:val="single" w:color="FFFFFF" w:sz="4" w:space="11"/>
        </w:pBd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政府性基金预算支出情况</w:t>
      </w:r>
    </w:p>
    <w:p>
      <w:pPr>
        <w:numPr>
          <w:numId w:val="0"/>
        </w:numPr>
        <w:pBdr>
          <w:bottom w:val="single" w:color="FFFFFF" w:sz="4" w:space="11"/>
        </w:pBd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numPr>
          <w:ilvl w:val="0"/>
          <w:numId w:val="2"/>
        </w:numPr>
        <w:pBdr>
          <w:bottom w:val="single" w:color="FFFFFF" w:sz="4" w:space="11"/>
        </w:pBdr>
        <w:adjustRightInd w:val="0"/>
        <w:snapToGrid w:val="0"/>
        <w:spacing w:line="580" w:lineRule="exact"/>
        <w:ind w:left="0" w:leftChars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国有资本经营预算支出情况</w:t>
      </w:r>
    </w:p>
    <w:p>
      <w:pPr>
        <w:numPr>
          <w:numId w:val="0"/>
        </w:numPr>
        <w:pBdr>
          <w:bottom w:val="single" w:color="FFFFFF" w:sz="4" w:space="11"/>
        </w:pBd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numPr>
          <w:ilvl w:val="0"/>
          <w:numId w:val="2"/>
        </w:numPr>
        <w:pBdr>
          <w:bottom w:val="single" w:color="FFFFFF" w:sz="4" w:space="11"/>
        </w:pBdr>
        <w:adjustRightInd w:val="0"/>
        <w:snapToGrid w:val="0"/>
        <w:spacing w:line="580" w:lineRule="exact"/>
        <w:ind w:left="0" w:leftChars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社会保险基金预算支出情况</w:t>
      </w:r>
    </w:p>
    <w:p>
      <w:pPr>
        <w:numPr>
          <w:numId w:val="0"/>
        </w:numPr>
        <w:pBdr>
          <w:bottom w:val="single" w:color="FFFFFF" w:sz="4" w:space="11"/>
        </w:pBd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numPr>
          <w:numId w:val="0"/>
        </w:numPr>
        <w:pBdr>
          <w:bottom w:val="single" w:color="FFFFFF" w:sz="4" w:space="11"/>
        </w:pBdr>
        <w:adjustRightInd w:val="0"/>
        <w:snapToGrid w:val="0"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部门整</w:t>
      </w:r>
      <w:r>
        <w:rPr>
          <w:rFonts w:eastAsia="黑体"/>
          <w:sz w:val="32"/>
          <w:szCs w:val="32"/>
        </w:rPr>
        <w:t>体支出绩效情况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_GB2312" w:eastAsia="仿宋_GB2312"/>
          <w:color w:val="000000"/>
          <w:spacing w:val="-6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突出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主题</w:t>
      </w:r>
      <w:r>
        <w:rPr>
          <w:rFonts w:ascii="楷体_GB2312" w:eastAsia="楷体_GB2312"/>
          <w:b/>
          <w:sz w:val="32"/>
          <w:szCs w:val="32"/>
        </w:rPr>
        <w:t>：</w:t>
      </w:r>
      <w:r>
        <w:rPr>
          <w:rFonts w:hint="eastAsia" w:ascii="楷体_GB2312" w:eastAsia="楷体_GB2312"/>
          <w:b/>
          <w:sz w:val="32"/>
          <w:szCs w:val="32"/>
        </w:rPr>
        <w:t>抓好收入</w:t>
      </w:r>
      <w:r>
        <w:rPr>
          <w:rFonts w:ascii="楷体_GB2312" w:eastAsia="楷体_GB2312"/>
          <w:b/>
          <w:sz w:val="32"/>
          <w:szCs w:val="32"/>
        </w:rPr>
        <w:t>组织</w:t>
      </w:r>
      <w:r>
        <w:rPr>
          <w:rFonts w:hint="eastAsia" w:ascii="楷体_GB2312" w:eastAsia="楷体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想方设法降低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宏观经济下行、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疫情反复、组合式减税降费政策等因素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带来的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影响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kern w:val="0"/>
          <w:sz w:val="32"/>
          <w:szCs w:val="32"/>
        </w:rPr>
        <w:t>紧盯收入组织和财源建设，</w:t>
      </w:r>
      <w:r>
        <w:rPr>
          <w:rFonts w:hint="eastAsia" w:ascii="仿宋_GB2312" w:eastAsia="仿宋_GB2312"/>
          <w:sz w:val="32"/>
          <w:szCs w:val="32"/>
        </w:rPr>
        <w:t>强化重点行业、重点税源、重点企业监管，</w:t>
      </w:r>
      <w:r>
        <w:rPr>
          <w:rFonts w:hint="eastAsia" w:ascii="仿宋_GB2312" w:eastAsia="仿宋_GB2312"/>
          <w:sz w:val="32"/>
          <w:szCs w:val="32"/>
          <w:lang w:eastAsia="zh-CN"/>
        </w:rPr>
        <w:t>财政收入平稳运行，</w:t>
      </w:r>
      <w:r>
        <w:rPr>
          <w:rFonts w:hint="eastAsia" w:ascii="仿宋_GB2312" w:eastAsia="仿宋_GB2312"/>
          <w:color w:val="000000"/>
          <w:spacing w:val="-6"/>
          <w:sz w:val="32"/>
          <w:szCs w:val="32"/>
        </w:rPr>
        <w:t>全年完成地方收入95亿元（预计数，下同），其中：市区两级税收完成75.9亿元，非税收入完成19.1亿元</w:t>
      </w:r>
      <w:r>
        <w:rPr>
          <w:rFonts w:hint="eastAsia" w:ascii="仿宋_GB2312" w:eastAsia="仿宋_GB2312"/>
          <w:color w:val="000000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培育纳税过亿元企业</w:t>
      </w:r>
      <w:r>
        <w:rPr>
          <w:rFonts w:hint="eastAsia" w:eastAsia="仿宋_GB2312"/>
          <w:color w:val="000000"/>
          <w:spacing w:val="-6"/>
          <w:sz w:val="32"/>
          <w:szCs w:val="32"/>
        </w:rPr>
        <w:t>25家、过千万元企业200家。按照百名</w:t>
      </w:r>
      <w:r>
        <w:rPr>
          <w:rFonts w:hint="eastAsia" w:ascii="仿宋_GB2312" w:eastAsia="仿宋_GB2312"/>
          <w:color w:val="000000"/>
          <w:spacing w:val="-6"/>
          <w:sz w:val="32"/>
          <w:szCs w:val="32"/>
        </w:rPr>
        <w:t>干部联千企“送政策、解难题、优服务”行动方案，主动为企业服务，及时兑现企业奖励资金5033万元。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eastAsia="楷体_GB2312"/>
          <w:b/>
          <w:sz w:val="32"/>
          <w:szCs w:val="32"/>
        </w:rPr>
        <w:t>抓住</w:t>
      </w:r>
      <w:r>
        <w:rPr>
          <w:rFonts w:ascii="楷体_GB2312" w:eastAsia="楷体_GB2312"/>
          <w:b/>
          <w:sz w:val="32"/>
          <w:szCs w:val="32"/>
        </w:rPr>
        <w:t>主线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强化预算管理。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按照“尽力而为，量入为出”原则，及时调整支出预算安排，延缓非重点、非急需支出，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确保财政资金安全平稳运行，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全年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民生民本</w:t>
      </w:r>
      <w:r>
        <w:rPr>
          <w:rFonts w:ascii="仿宋_GB2312" w:hAnsi="仿宋_GB2312" w:eastAsia="仿宋_GB2312"/>
          <w:bCs/>
          <w:color w:val="000000"/>
          <w:sz w:val="32"/>
          <w:szCs w:val="32"/>
        </w:rPr>
        <w:t>支出占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地方</w:t>
      </w:r>
      <w:r>
        <w:rPr>
          <w:rFonts w:ascii="仿宋_GB2312" w:hAnsi="仿宋_GB2312" w:eastAsia="仿宋_GB2312"/>
          <w:color w:val="000000"/>
          <w:sz w:val="32"/>
          <w:szCs w:val="32"/>
        </w:rPr>
        <w:t>一般公共预算支出的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85</w:t>
      </w:r>
      <w:r>
        <w:rPr>
          <w:rFonts w:ascii="仿宋_GB2312" w:hAnsi="仿宋_GB2312" w:eastAsia="仿宋_GB2312"/>
          <w:color w:val="000000"/>
          <w:sz w:val="32"/>
          <w:szCs w:val="32"/>
        </w:rPr>
        <w:t>%以上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加大向上争资力度，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成立全区向上争资工作专班，区领导定期调度工作落实情况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，确保完成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向上争资目标任务。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eastAsia="仿宋_GB2312"/>
          <w:color w:val="000000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（三）抓实主业</w:t>
      </w:r>
      <w:r>
        <w:rPr>
          <w:rFonts w:ascii="楷体_GB2312" w:hAnsi="楷体_GB2312" w:eastAsia="楷体_GB2312" w:cs="楷体_GB2312"/>
          <w:b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强化风险防控。</w:t>
      </w:r>
      <w:r>
        <w:rPr>
          <w:rFonts w:hint="eastAsia" w:eastAsia="仿宋_GB2312"/>
          <w:color w:val="000000"/>
          <w:spacing w:val="-6"/>
          <w:sz w:val="32"/>
          <w:szCs w:val="32"/>
        </w:rPr>
        <w:t>对全口径债务还本付息“一债一策”，确保风险排查、资金筹集、合规化解“三个到位”；牵头督促各责任主体落实长沙市下达的10.03亿元隐性债务化解任务，按期、合规化解到位。成立全区“三资”工作专班，统筹调度全区资产、资金、资源工作，累计盘活“三资”7.25亿元，提前完成</w:t>
      </w:r>
      <w:r>
        <w:rPr>
          <w:rFonts w:eastAsia="仿宋_GB2312"/>
          <w:color w:val="000000"/>
          <w:spacing w:val="-6"/>
          <w:sz w:val="32"/>
          <w:szCs w:val="32"/>
        </w:rPr>
        <w:t>市定目标任务</w:t>
      </w:r>
      <w:r>
        <w:rPr>
          <w:rFonts w:hint="eastAsia" w:eastAsia="仿宋_GB2312"/>
          <w:color w:val="000000"/>
          <w:spacing w:val="-6"/>
          <w:sz w:val="32"/>
          <w:szCs w:val="32"/>
        </w:rPr>
        <w:t>。探索开展事前绩效评估工作，实施预算执行进度和目标实现程度“双监控”，建立财政审计协同联动机制。全面规范街道预算管理、财务收支、债权债务、资产资源等管理，清水塘街道财政所被评为“湖南省示范财政所”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eastAsia="仿宋_GB2312"/>
          <w:color w:val="000000"/>
          <w:spacing w:val="-6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（四）抓牢</w:t>
      </w:r>
      <w:r>
        <w:rPr>
          <w:rFonts w:ascii="楷体_GB2312" w:eastAsia="楷体_GB2312"/>
          <w:b/>
          <w:sz w:val="32"/>
          <w:szCs w:val="32"/>
        </w:rPr>
        <w:t>主责：</w:t>
      </w:r>
      <w:r>
        <w:rPr>
          <w:rFonts w:hint="eastAsia" w:ascii="楷体_GB2312" w:eastAsia="楷体_GB2312"/>
          <w:b/>
          <w:sz w:val="32"/>
          <w:szCs w:val="32"/>
        </w:rPr>
        <w:t>加强队伍建设。</w:t>
      </w:r>
      <w:r>
        <w:rPr>
          <w:rFonts w:hint="eastAsia" w:eastAsia="仿宋_GB2312"/>
          <w:color w:val="000000"/>
          <w:spacing w:val="-6"/>
          <w:sz w:val="32"/>
          <w:szCs w:val="32"/>
        </w:rPr>
        <w:t>大力开展“财政大讲堂”“书记讲党课”等主题活动，引导党员干部始终保持对党绝对忠诚的政治品格；认真落实意识形态工作责任制，坚持守土有责、守土负责、守土尽责。加强党风</w:t>
      </w:r>
      <w:r>
        <w:rPr>
          <w:rFonts w:eastAsia="仿宋_GB2312"/>
          <w:color w:val="000000"/>
          <w:spacing w:val="-6"/>
          <w:sz w:val="32"/>
          <w:szCs w:val="32"/>
        </w:rPr>
        <w:t>廉政</w:t>
      </w:r>
      <w:r>
        <w:rPr>
          <w:rFonts w:hint="eastAsia" w:eastAsia="仿宋_GB2312"/>
          <w:color w:val="000000"/>
          <w:spacing w:val="-6"/>
          <w:sz w:val="32"/>
          <w:szCs w:val="32"/>
        </w:rPr>
        <w:t>建设，“清廉财政”建设作为全区唯一参展单位参加全市清廉岳麓共同体展陈；加强对重点岗位、关键环节的风险防控，营造“不想腐、不敢腐、不能腐”的氛围。全力推进“理论素养提升、专业能力提升、团队活力提升”三大工程，开展“岗位大练兵、业务大比武”活动，打造学习型财政团队和复合型财政干部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七、存在的问题及原因分析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因工作原因，个别项目支出集中在年末，导致个别项目支出序时进度偏慢。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八、</w:t>
      </w:r>
      <w:r>
        <w:rPr>
          <w:rFonts w:eastAsia="黑体"/>
          <w:sz w:val="32"/>
          <w:szCs w:val="32"/>
        </w:rPr>
        <w:t>下一步改进措施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下一步改进措施：一是规范部门预算的编制，加强预算精细化管理。二是加强预算执行监督与管理，规范预算项目执行进度，严格按照预算指标及时支出，强化预算约束力，切实发挥财政资金效益。</w:t>
      </w:r>
    </w:p>
    <w:p>
      <w:pPr>
        <w:numPr>
          <w:ilvl w:val="0"/>
          <w:numId w:val="0"/>
        </w:numPr>
        <w:pBdr>
          <w:bottom w:val="single" w:color="FFFFFF" w:sz="4" w:space="11"/>
        </w:pBd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黑体"/>
          <w:sz w:val="32"/>
          <w:szCs w:val="32"/>
          <w:lang w:eastAsia="zh-CN"/>
        </w:rPr>
        <w:t>九、</w:t>
      </w:r>
      <w:r>
        <w:rPr>
          <w:rFonts w:eastAsia="黑体"/>
          <w:sz w:val="32"/>
          <w:szCs w:val="32"/>
        </w:rPr>
        <w:t>绩效自评结果拟应用和公开情况</w:t>
      </w:r>
    </w:p>
    <w:p>
      <w:pPr>
        <w:numPr>
          <w:ilvl w:val="0"/>
          <w:numId w:val="0"/>
        </w:numPr>
        <w:pBdr>
          <w:bottom w:val="single" w:color="FFFFFF" w:sz="4" w:space="11"/>
        </w:pBdr>
        <w:spacing w:line="540" w:lineRule="exact"/>
        <w:ind w:firstLine="640" w:firstLineChars="200"/>
        <w:rPr>
          <w:rFonts w:hint="eastAsia" w:ascii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本部门所有支出实行绩效目标管理。纳入2022年部门整体支出绩效目标的金额为2169.27万元，其中，基本支出1493.29万元，项目支出675.98万元。</w:t>
      </w:r>
      <w:r>
        <w:rPr>
          <w:rFonts w:hint="eastAsia" w:ascii="仿宋_GB2312" w:cs="Times New Roman"/>
          <w:kern w:val="2"/>
          <w:sz w:val="32"/>
          <w:szCs w:val="32"/>
          <w:lang w:val="en-US" w:eastAsia="zh-CN" w:bidi="ar-SA"/>
        </w:rPr>
        <w:t>全部进行预算公开。</w:t>
      </w:r>
    </w:p>
    <w:p>
      <w:pPr>
        <w:numPr>
          <w:ilvl w:val="0"/>
          <w:numId w:val="0"/>
        </w:numPr>
        <w:pBdr>
          <w:bottom w:val="single" w:color="FFFFFF" w:sz="4" w:space="11"/>
        </w:pBd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sz w:val="32"/>
          <w:szCs w:val="32"/>
        </w:rPr>
        <w:t>其</w:t>
      </w:r>
      <w:r>
        <w:rPr>
          <w:rFonts w:eastAsia="黑体"/>
          <w:sz w:val="32"/>
          <w:szCs w:val="32"/>
        </w:rPr>
        <w:t>他需要说明的情况</w:t>
      </w:r>
    </w:p>
    <w:p>
      <w:pPr>
        <w:numPr>
          <w:ilvl w:val="0"/>
          <w:numId w:val="0"/>
        </w:numPr>
        <w:pBdr>
          <w:bottom w:val="single" w:color="FFFFFF" w:sz="4" w:space="11"/>
        </w:pBdr>
        <w:spacing w:line="54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无。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2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报告需要以下附件：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1、部门整体支出绩效评价基础数据表</w:t>
      </w:r>
      <w:r>
        <w:rPr>
          <w:rFonts w:hint="eastAsia" w:eastAsia="仿宋_GB2312"/>
          <w:sz w:val="32"/>
          <w:szCs w:val="32"/>
        </w:rPr>
        <w:t>（P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2、部门整体支出绩效自评表</w:t>
      </w:r>
      <w:r>
        <w:rPr>
          <w:rFonts w:hint="eastAsia" w:eastAsia="仿宋_GB2312"/>
          <w:sz w:val="32"/>
          <w:szCs w:val="32"/>
        </w:rPr>
        <w:t>（P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3、项目支出绩效自评表</w:t>
      </w:r>
      <w:r>
        <w:rPr>
          <w:rFonts w:hint="eastAsia" w:eastAsia="仿宋_GB2312"/>
          <w:sz w:val="32"/>
          <w:szCs w:val="32"/>
        </w:rPr>
        <w:t>（P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（每个一级项目支出一张表）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4、政府性基金预算支出情况表</w:t>
      </w:r>
      <w:r>
        <w:rPr>
          <w:rFonts w:hint="eastAsia" w:eastAsia="仿宋_GB2312"/>
          <w:sz w:val="32"/>
          <w:szCs w:val="32"/>
        </w:rPr>
        <w:t>（该表与当年部门预决算公开保持一致）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5、国有资本经营预算支出情况表</w:t>
      </w:r>
      <w:r>
        <w:rPr>
          <w:rFonts w:hint="eastAsia" w:eastAsia="仿宋_GB2312"/>
          <w:sz w:val="32"/>
          <w:szCs w:val="32"/>
        </w:rPr>
        <w:t>（该表与当年部门预决算公开保持一致）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6、社会保险基金预算支出情况表</w:t>
      </w:r>
      <w:r>
        <w:rPr>
          <w:rFonts w:hint="eastAsia" w:eastAsia="仿宋_GB2312"/>
          <w:sz w:val="32"/>
          <w:szCs w:val="32"/>
        </w:rPr>
        <w:t>（该表与当年部门预决算公开保持一致）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widowControl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outlineLvl w:val="0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  <w:lang w:val="en-US" w:eastAsia="zh-CN"/>
        </w:rPr>
        <w:t>2022年度</w:t>
      </w:r>
      <w:r>
        <w:rPr>
          <w:rFonts w:eastAsia="方正小标宋_GBK"/>
          <w:kern w:val="0"/>
          <w:sz w:val="36"/>
          <w:szCs w:val="36"/>
        </w:rPr>
        <w:t>部门整体支出绩效评价基础数据表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2"/>
        <w:gridCol w:w="992"/>
        <w:gridCol w:w="992"/>
        <w:gridCol w:w="1134"/>
        <w:gridCol w:w="992"/>
        <w:gridCol w:w="993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06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财政供养人员情况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编制数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年实际在职人数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控制率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（理想值≤1）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39</w:t>
            </w: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34</w:t>
            </w: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 xml:space="preserve">计算公式= </w:t>
            </w:r>
            <w:r>
              <w:rPr>
                <w:rFonts w:eastAsia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1"/>
                <w:szCs w:val="21"/>
              </w:rPr>
              <w:t>年实际在职人数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/</w:t>
            </w:r>
            <w:r>
              <w:rPr>
                <w:rFonts w:eastAsia="仿宋_GB2312"/>
                <w:kern w:val="0"/>
                <w:sz w:val="21"/>
                <w:szCs w:val="21"/>
              </w:rPr>
              <w:t>编制数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经费控制情况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年预算数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三公经费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1、公务用车购置和维护经费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其中：公车购置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   公车运行维护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2、出国经费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3、公务接待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项目支出：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1698.97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675.98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6042.06</w:t>
            </w: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1、业务工作经费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702.23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675.98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542.53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2、运行维护经费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3、专项资金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经济发展奖</w:t>
            </w:r>
            <w:r>
              <w:rPr>
                <w:rFonts w:eastAsia="仿宋_GB2312"/>
                <w:kern w:val="0"/>
                <w:sz w:val="21"/>
                <w:szCs w:val="21"/>
              </w:rPr>
              <w:t>）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996.74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5499.53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4、其他事业类发展资金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……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公用经费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其中：办公费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39.83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17</w:t>
            </w: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水费、电费、差旅费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会议费、培训费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1.72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政府采购金额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both"/>
              <w:textAlignment w:val="auto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37</w:t>
            </w: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部门基本支出预算调整 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——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1493.29</w:t>
            </w: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06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楼堂馆所控制情况</w:t>
            </w:r>
            <w:r>
              <w:rPr>
                <w:rFonts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kern w:val="0"/>
                <w:sz w:val="21"/>
                <w:szCs w:val="21"/>
              </w:rPr>
              <w:t>（20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1"/>
                <w:szCs w:val="21"/>
              </w:rPr>
              <w:t>年完工项目）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wordWrap w:val="0"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批复规模（</w:t>
            </w:r>
            <w:r>
              <w:rPr>
                <w:rFonts w:eastAsia="Batang"/>
                <w:bCs/>
                <w:kern w:val="0"/>
                <w:sz w:val="21"/>
                <w:szCs w:val="21"/>
              </w:rPr>
              <w:t>㎡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wordWrap w:val="0"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实际规模（</w:t>
            </w:r>
            <w:r>
              <w:rPr>
                <w:rFonts w:eastAsia="Batang"/>
                <w:bCs/>
                <w:kern w:val="0"/>
                <w:sz w:val="21"/>
                <w:szCs w:val="21"/>
              </w:rPr>
              <w:t>㎡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规模控制率</w:t>
            </w: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（理想值≤1）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预算投资（万元）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实际投资（万元）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投资概算控制率</w:t>
            </w: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（理想值≤1）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计算公式=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实际规模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/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批复规模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×100%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计算公式=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实际投资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/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预算投资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厉行节约保障措施</w:t>
            </w:r>
          </w:p>
        </w:tc>
        <w:tc>
          <w:tcPr>
            <w:tcW w:w="640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3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仿宋_GB2312"/>
          <w:kern w:val="0"/>
          <w:sz w:val="22"/>
        </w:rPr>
        <w:t>说明：“项目支出”需要填报基本支出以外的所有项目支出情况，“公用经费”填报基本支出中的一般商品和服务支出。</w:t>
      </w:r>
      <w:r>
        <w:rPr>
          <w:rFonts w:eastAsia="仿宋_GB2312"/>
          <w:kern w:val="0"/>
          <w:sz w:val="22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部门整体支出绩效自评表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5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388"/>
        <w:gridCol w:w="1008"/>
        <w:gridCol w:w="1131"/>
        <w:gridCol w:w="308"/>
        <w:gridCol w:w="962"/>
        <w:gridCol w:w="899"/>
        <w:gridCol w:w="687"/>
        <w:gridCol w:w="1635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区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级预算部门名称</w:t>
            </w:r>
          </w:p>
        </w:tc>
        <w:tc>
          <w:tcPr>
            <w:tcW w:w="924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算申请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396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预算数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全年预算数</w:t>
            </w:r>
            <w:r>
              <w:rPr>
                <w:rFonts w:hint="eastAsia" w:eastAsia="仿宋_GB2312"/>
                <w:sz w:val="21"/>
                <w:szCs w:val="21"/>
              </w:rPr>
              <w:t>（含当年预算调整数）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2169.27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color w:val="0000FF"/>
                <w:sz w:val="21"/>
                <w:szCs w:val="21"/>
              </w:rPr>
              <w:t>8814</w:t>
            </w:r>
            <w:r>
              <w:rPr>
                <w:rFonts w:hint="eastAsia"/>
                <w:color w:val="0000FF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eastAsia="仿宋_GB2312"/>
                <w:color w:val="0000FF"/>
                <w:sz w:val="21"/>
                <w:szCs w:val="21"/>
              </w:rPr>
              <w:t>50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FF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color w:val="0000FF"/>
                <w:sz w:val="21"/>
                <w:szCs w:val="21"/>
                <w:highlight w:val="none"/>
              </w:rPr>
              <w:t>7553</w:t>
            </w:r>
            <w:r>
              <w:rPr>
                <w:rFonts w:hint="eastAsia"/>
                <w:color w:val="0000FF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_GB2312"/>
                <w:color w:val="0000FF"/>
                <w:sz w:val="21"/>
                <w:szCs w:val="21"/>
                <w:highlight w:val="none"/>
              </w:rPr>
              <w:t>76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  <w:highlight w:val="none"/>
              </w:rPr>
            </w:pPr>
            <w:r>
              <w:rPr>
                <w:rFonts w:eastAsia="仿宋_GB2312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85.7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%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4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 xml:space="preserve">  其中：  一般公共预算：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7553.76</w:t>
            </w:r>
          </w:p>
        </w:tc>
        <w:tc>
          <w:tcPr>
            <w:tcW w:w="4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其中：基本支出：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1511.7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840" w:firstLineChars="4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政府性基金拨款：</w:t>
            </w:r>
          </w:p>
        </w:tc>
        <w:tc>
          <w:tcPr>
            <w:tcW w:w="4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项目支出：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6042.06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4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470" w:firstLineChars="7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其他资金：</w:t>
            </w:r>
          </w:p>
        </w:tc>
        <w:tc>
          <w:tcPr>
            <w:tcW w:w="4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7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着力“增收”，充分发挥积极财政政策效应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着力“节支”，确保财政平稳持续运行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着力“提质”，持续深化财政管理改革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着力“增效”，促进财政资源有效配置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着力“风控”，防范化解财政运行风险</w:t>
            </w:r>
          </w:p>
        </w:tc>
        <w:tc>
          <w:tcPr>
            <w:tcW w:w="4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全年完成地方收入95亿元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培育纳税过亿元企业25家、过千万元企业200家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累计盘活“三资”7.25亿元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开展“财政大讲堂”“书记讲党课”等主题活动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全年完成地方收入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亿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元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95亿元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人员到岗数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82人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82人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税收占财政收入比重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6%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6%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人员资质达标率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地方一般公共预算收入完成率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人员到岗及时率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成本节约率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0%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14%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（30分）　</w:t>
            </w:r>
          </w:p>
        </w:tc>
        <w:tc>
          <w:tcPr>
            <w:tcW w:w="1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培育纳税过千万元企业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200家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200家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培育纳税过亿元企业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25家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25家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客观公众反映财政资金使用效益和管理水平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有效保障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障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为全区经济社会高质量发展提供有力财力支撑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有效保障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障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服务区直部门满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意度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全区社会公众满意度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widowControl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385"/>
        <w:gridCol w:w="790"/>
        <w:gridCol w:w="1037"/>
        <w:gridCol w:w="615"/>
        <w:gridCol w:w="155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财政工作经费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3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670.8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670.8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542.53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81%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542.53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楷体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着力“增收”，充分发挥积极财政政策效应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着力“节支”，确保财政平稳持续运行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着力“提质”，持续深化财政管理改革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着力“增效”，促进财政资源有效配置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着力“风控”，防范化解财政运行风险</w:t>
            </w:r>
          </w:p>
        </w:tc>
        <w:tc>
          <w:tcPr>
            <w:tcW w:w="44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全年完成地方收入95亿元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培育纳税过亿元企业25家、过千万元企业200家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累计盘活“三资”7.25亿元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开展“财政大讲堂”“书记讲党课”等主题活动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评审专家聘用人数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20人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委托中介机构完成财政重点绩效评价项目数量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39个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财政网络运维平台数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8个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8个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采购平台使用单位数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145个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145个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购买财政票据数量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118万份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120万分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评审专家资质达标率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中介机构绩效报告合格率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财政网络运维质量合格率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采购平台使用满意率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财政票据验收合格率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评审专家考勤率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按时完成绩效评价任务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成本节约率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19%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客观公众反映财政资金使用效益和管理水平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有效保障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障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为全区经济社会高质量发展提供有力财力支撑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有效保障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障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服务区直部门满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意度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全区社会公众满意度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/>
          <w:kern w:val="0"/>
          <w:sz w:val="22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pStyle w:val="2"/>
        <w:rPr>
          <w:rFonts w:hint="eastAsia" w:eastAsia="仿宋_GB2312"/>
          <w:kern w:val="0"/>
          <w:sz w:val="22"/>
        </w:rPr>
      </w:pPr>
    </w:p>
    <w:p>
      <w:pPr>
        <w:rPr>
          <w:rFonts w:hint="eastAsia" w:eastAsia="仿宋_GB2312"/>
          <w:kern w:val="0"/>
          <w:sz w:val="22"/>
        </w:rPr>
      </w:pPr>
    </w:p>
    <w:p>
      <w:pPr>
        <w:pStyle w:val="2"/>
        <w:rPr>
          <w:rFonts w:hint="eastAsia" w:eastAsia="仿宋_GB2312"/>
          <w:kern w:val="0"/>
          <w:sz w:val="22"/>
        </w:rPr>
      </w:pPr>
    </w:p>
    <w:p>
      <w:pPr>
        <w:rPr>
          <w:rFonts w:hint="eastAsia" w:eastAsia="仿宋_GB2312"/>
          <w:kern w:val="0"/>
          <w:sz w:val="22"/>
        </w:rPr>
      </w:pPr>
    </w:p>
    <w:p>
      <w:pPr>
        <w:pStyle w:val="2"/>
        <w:rPr>
          <w:rFonts w:hint="eastAsia" w:eastAsia="仿宋_GB2312"/>
          <w:kern w:val="0"/>
          <w:sz w:val="22"/>
        </w:rPr>
      </w:pPr>
    </w:p>
    <w:p>
      <w:pPr>
        <w:rPr>
          <w:rFonts w:hint="eastAsia" w:eastAsia="仿宋_GB2312"/>
          <w:kern w:val="0"/>
          <w:sz w:val="22"/>
        </w:rPr>
      </w:pPr>
    </w:p>
    <w:p>
      <w:pPr>
        <w:pStyle w:val="2"/>
        <w:rPr>
          <w:rFonts w:hint="eastAsia" w:eastAsia="仿宋_GB2312"/>
          <w:kern w:val="0"/>
          <w:sz w:val="22"/>
        </w:rPr>
      </w:pPr>
    </w:p>
    <w:p>
      <w:pPr>
        <w:rPr>
          <w:rFonts w:hint="eastAsia" w:eastAsia="仿宋_GB2312"/>
          <w:kern w:val="0"/>
          <w:sz w:val="22"/>
        </w:rPr>
      </w:pPr>
    </w:p>
    <w:p>
      <w:pPr>
        <w:pStyle w:val="2"/>
        <w:rPr>
          <w:rFonts w:hint="eastAsia" w:eastAsia="仿宋_GB2312"/>
          <w:kern w:val="0"/>
          <w:sz w:val="22"/>
        </w:rPr>
      </w:pPr>
    </w:p>
    <w:p>
      <w:pPr>
        <w:rPr>
          <w:rFonts w:hint="eastAsia" w:eastAsia="仿宋_GB2312"/>
          <w:kern w:val="0"/>
          <w:sz w:val="22"/>
        </w:rPr>
      </w:pPr>
    </w:p>
    <w:p>
      <w:pPr>
        <w:pStyle w:val="2"/>
        <w:rPr>
          <w:rFonts w:hint="eastAsia" w:eastAsia="仿宋_GB2312"/>
          <w:kern w:val="0"/>
          <w:sz w:val="22"/>
        </w:rPr>
      </w:pPr>
    </w:p>
    <w:p>
      <w:pPr>
        <w:rPr>
          <w:rFonts w:hint="eastAsia" w:eastAsia="仿宋_GB2312"/>
          <w:kern w:val="0"/>
          <w:sz w:val="22"/>
        </w:rPr>
      </w:pPr>
    </w:p>
    <w:p>
      <w:pPr>
        <w:widowControl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5"/>
        <w:tblW w:w="10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229"/>
        <w:gridCol w:w="1095"/>
        <w:gridCol w:w="1315"/>
        <w:gridCol w:w="955"/>
        <w:gridCol w:w="942"/>
        <w:gridCol w:w="615"/>
        <w:gridCol w:w="1559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91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经济发展奖励及委托业务项目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5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5499.43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5499.43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完成经济发展奖励企业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100家，有效保障企业正常运转，护好税源。</w:t>
            </w:r>
          </w:p>
        </w:tc>
        <w:tc>
          <w:tcPr>
            <w:tcW w:w="4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完成经济发展奖励企业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114家，奖励金额达5499.53万元，有效保障企业正常运转及留住税源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兑现奖励企业数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兑现达标率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兑现及时率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成本节约率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0%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19%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奖励企业更好的保障税收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有效保障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障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为全区经济社会高质量发展提供有力财力支撑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有效保障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障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区级企业满意度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ascii="Times New Roman" w:hAnsi="Times New Roman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FE4FD"/>
    <w:multiLevelType w:val="singleLevel"/>
    <w:tmpl w:val="4D7FE4F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EE4B4A"/>
    <w:multiLevelType w:val="singleLevel"/>
    <w:tmpl w:val="5DEE4B4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MDQ0Y2JmNDZjOWZjMDVhZmYxZGEyOWZhNDY0M2YifQ=="/>
  </w:docVars>
  <w:rsids>
    <w:rsidRoot w:val="008E78CB"/>
    <w:rsid w:val="0031585B"/>
    <w:rsid w:val="006479FB"/>
    <w:rsid w:val="008E78CB"/>
    <w:rsid w:val="00F454BE"/>
    <w:rsid w:val="012743C0"/>
    <w:rsid w:val="0328464B"/>
    <w:rsid w:val="040C0E93"/>
    <w:rsid w:val="04D614E6"/>
    <w:rsid w:val="066E3443"/>
    <w:rsid w:val="06754FED"/>
    <w:rsid w:val="06D322B3"/>
    <w:rsid w:val="08D02EBC"/>
    <w:rsid w:val="09F05266"/>
    <w:rsid w:val="0A0E549B"/>
    <w:rsid w:val="0ACD752C"/>
    <w:rsid w:val="0BC376B2"/>
    <w:rsid w:val="0BE63534"/>
    <w:rsid w:val="0C0C4FB5"/>
    <w:rsid w:val="0C8F3D96"/>
    <w:rsid w:val="0D253D87"/>
    <w:rsid w:val="0E2574EA"/>
    <w:rsid w:val="102C2939"/>
    <w:rsid w:val="124C2BF4"/>
    <w:rsid w:val="12E254B4"/>
    <w:rsid w:val="13A22E5C"/>
    <w:rsid w:val="13E744B7"/>
    <w:rsid w:val="13FF7A8E"/>
    <w:rsid w:val="15E50ECA"/>
    <w:rsid w:val="1684192F"/>
    <w:rsid w:val="17066715"/>
    <w:rsid w:val="192166BD"/>
    <w:rsid w:val="196768DB"/>
    <w:rsid w:val="19921730"/>
    <w:rsid w:val="1D726075"/>
    <w:rsid w:val="1FD42590"/>
    <w:rsid w:val="21B500C8"/>
    <w:rsid w:val="21BC51D5"/>
    <w:rsid w:val="25257535"/>
    <w:rsid w:val="254B4E0F"/>
    <w:rsid w:val="26461896"/>
    <w:rsid w:val="2A0316E4"/>
    <w:rsid w:val="2B186DBE"/>
    <w:rsid w:val="2B6F401E"/>
    <w:rsid w:val="2CD37DDA"/>
    <w:rsid w:val="2D571DD6"/>
    <w:rsid w:val="2D744BB6"/>
    <w:rsid w:val="2E101A08"/>
    <w:rsid w:val="2F4860A7"/>
    <w:rsid w:val="30711DF5"/>
    <w:rsid w:val="30D41527"/>
    <w:rsid w:val="34021452"/>
    <w:rsid w:val="355C285B"/>
    <w:rsid w:val="36041280"/>
    <w:rsid w:val="37994EB3"/>
    <w:rsid w:val="38332D9B"/>
    <w:rsid w:val="384E1641"/>
    <w:rsid w:val="39733FDC"/>
    <w:rsid w:val="3BBE6077"/>
    <w:rsid w:val="3C9B3859"/>
    <w:rsid w:val="3EFA076E"/>
    <w:rsid w:val="40D84C0F"/>
    <w:rsid w:val="41691838"/>
    <w:rsid w:val="43582152"/>
    <w:rsid w:val="44BB608F"/>
    <w:rsid w:val="45A92DAE"/>
    <w:rsid w:val="470E352E"/>
    <w:rsid w:val="47581F26"/>
    <w:rsid w:val="490465F3"/>
    <w:rsid w:val="4ACC4FA9"/>
    <w:rsid w:val="4B67576D"/>
    <w:rsid w:val="4BF76857"/>
    <w:rsid w:val="4C8249CF"/>
    <w:rsid w:val="4CD87CEB"/>
    <w:rsid w:val="4CEA3967"/>
    <w:rsid w:val="4CF27CD0"/>
    <w:rsid w:val="4D2D3ACA"/>
    <w:rsid w:val="4FC275AB"/>
    <w:rsid w:val="50F934A0"/>
    <w:rsid w:val="544B7B6F"/>
    <w:rsid w:val="54B73456"/>
    <w:rsid w:val="558E79E0"/>
    <w:rsid w:val="55B17EA6"/>
    <w:rsid w:val="575A7A1F"/>
    <w:rsid w:val="5862139A"/>
    <w:rsid w:val="5B8C7CE0"/>
    <w:rsid w:val="5CBA145A"/>
    <w:rsid w:val="5E4B06DB"/>
    <w:rsid w:val="605544C9"/>
    <w:rsid w:val="60EE4B44"/>
    <w:rsid w:val="617B201B"/>
    <w:rsid w:val="61D502DC"/>
    <w:rsid w:val="63B76FCA"/>
    <w:rsid w:val="65F511F3"/>
    <w:rsid w:val="67D955FA"/>
    <w:rsid w:val="6A1F59CD"/>
    <w:rsid w:val="6C187180"/>
    <w:rsid w:val="6D9B0669"/>
    <w:rsid w:val="6E2B087F"/>
    <w:rsid w:val="72E43211"/>
    <w:rsid w:val="7309711B"/>
    <w:rsid w:val="73B60E7A"/>
    <w:rsid w:val="73BA441E"/>
    <w:rsid w:val="75583371"/>
    <w:rsid w:val="75E40022"/>
    <w:rsid w:val="76EE4B53"/>
    <w:rsid w:val="776B33EB"/>
    <w:rsid w:val="7A6C04E0"/>
    <w:rsid w:val="7A7C0656"/>
    <w:rsid w:val="7D6377CA"/>
    <w:rsid w:val="7DC47A9D"/>
    <w:rsid w:val="7DFE2589"/>
    <w:rsid w:val="7FC61E52"/>
    <w:rsid w:val="D5E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6830</Words>
  <Characters>7339</Characters>
  <Lines>19</Lines>
  <Paragraphs>5</Paragraphs>
  <TotalTime>3</TotalTime>
  <ScaleCrop>false</ScaleCrop>
  <LinksUpToDate>false</LinksUpToDate>
  <CharactersWithSpaces>7575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2021-01-27T11:18:00Z</dcterms:created>
  <dc:creator>Administrator</dc:creator>
  <cp:lastModifiedBy>赞赞</cp:lastModifiedBy>
  <cp:lastPrinted>2023-04-12T09:13:00Z</cp:lastPrinted>
  <dcterms:modified xsi:type="dcterms:W3CDTF">2023-06-29T06:27:06Z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5CC60350DD39CCF1D1936164EBBDE940</vt:lpwstr>
  </property>
</Properties>
</file>