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项目支出绩效自评报告</w:t>
      </w:r>
    </w:p>
    <w:p>
      <w:pPr>
        <w:spacing w:line="560" w:lineRule="exact"/>
        <w:jc w:val="center"/>
        <w:rPr>
          <w:rFonts w:ascii="仿宋_GB2312" w:hAnsi="仿宋_GB2312" w:cs="仿宋_GB2312"/>
          <w:b/>
          <w:bCs/>
          <w:color w:val="000000"/>
        </w:rPr>
      </w:pPr>
      <w:r>
        <w:rPr>
          <w:rFonts w:hint="eastAsia" w:ascii="仿宋_GB2312" w:hAnsi="仿宋_GB2312" w:cs="仿宋_GB2312"/>
          <w:color w:val="000000"/>
        </w:rPr>
        <w:t>（参考提纲1）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项目支出</w:t>
      </w:r>
      <w:r>
        <w:rPr>
          <w:rFonts w:eastAsia="黑体"/>
          <w:sz w:val="32"/>
          <w:szCs w:val="32"/>
        </w:rPr>
        <w:t>基本情况</w:t>
      </w:r>
    </w:p>
    <w:p>
      <w:pPr>
        <w:spacing w:line="560" w:lineRule="exact"/>
        <w:ind w:firstLine="643" w:firstLineChars="200"/>
        <w:rPr>
          <w:rFonts w:eastAsia="楷体_GB2312"/>
          <w:b/>
          <w:bCs/>
          <w:sz w:val="32"/>
          <w:szCs w:val="32"/>
        </w:rPr>
      </w:pPr>
      <w:r>
        <w:rPr>
          <w:rFonts w:eastAsia="楷体_GB2312"/>
          <w:b/>
          <w:bCs/>
          <w:sz w:val="32"/>
          <w:szCs w:val="32"/>
        </w:rPr>
        <w:t>（一）</w:t>
      </w:r>
      <w:r>
        <w:rPr>
          <w:rFonts w:hint="eastAsia" w:eastAsia="楷体_GB2312"/>
          <w:b/>
          <w:bCs/>
          <w:sz w:val="32"/>
          <w:szCs w:val="32"/>
        </w:rPr>
        <w:t>项目支出</w:t>
      </w:r>
      <w:r>
        <w:rPr>
          <w:rFonts w:eastAsia="楷体_GB2312"/>
          <w:b/>
          <w:bCs/>
          <w:sz w:val="32"/>
          <w:szCs w:val="32"/>
        </w:rPr>
        <w:t>资金概况</w:t>
      </w:r>
    </w:p>
    <w:p>
      <w:pPr>
        <w:spacing w:line="560" w:lineRule="exact"/>
        <w:ind w:firstLine="640" w:firstLineChars="200"/>
        <w:rPr>
          <w:rFonts w:hint="eastAsia"/>
          <w:sz w:val="32"/>
          <w:szCs w:val="32"/>
        </w:rPr>
      </w:pP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1年我局项目支出预算共</w:t>
      </w:r>
      <w:r>
        <w:rPr>
          <w:rFonts w:hint="eastAsia"/>
          <w:sz w:val="32"/>
          <w:szCs w:val="32"/>
          <w:u w:val="single"/>
        </w:rPr>
        <w:t xml:space="preserve"> 655.40</w:t>
      </w:r>
      <w:r>
        <w:rPr>
          <w:rFonts w:hint="eastAsia"/>
          <w:sz w:val="32"/>
          <w:szCs w:val="32"/>
        </w:rPr>
        <w:t>万元，包含项目</w:t>
      </w:r>
      <w:r>
        <w:rPr>
          <w:rFonts w:hint="eastAsia"/>
          <w:sz w:val="32"/>
          <w:szCs w:val="32"/>
          <w:u w:val="single"/>
        </w:rPr>
        <w:t xml:space="preserve">1 </w:t>
      </w:r>
      <w:r>
        <w:rPr>
          <w:rFonts w:hint="eastAsia"/>
          <w:sz w:val="32"/>
          <w:szCs w:val="32"/>
        </w:rPr>
        <w:t>个，实际支出</w:t>
      </w:r>
      <w:r>
        <w:rPr>
          <w:rFonts w:hint="eastAsia"/>
          <w:sz w:val="32"/>
          <w:szCs w:val="32"/>
          <w:u w:val="single"/>
        </w:rPr>
        <w:t xml:space="preserve"> 655.40</w:t>
      </w:r>
      <w:r>
        <w:rPr>
          <w:rFonts w:hint="eastAsia"/>
          <w:sz w:val="32"/>
          <w:szCs w:val="32"/>
        </w:rPr>
        <w:t>万元（业务工作经费</w:t>
      </w:r>
      <w:r>
        <w:rPr>
          <w:rFonts w:hint="eastAsia"/>
          <w:sz w:val="32"/>
          <w:szCs w:val="32"/>
          <w:u w:val="single"/>
        </w:rPr>
        <w:t>655.40</w:t>
      </w:r>
      <w:r>
        <w:rPr>
          <w:rFonts w:hint="eastAsia"/>
          <w:sz w:val="32"/>
          <w:szCs w:val="32"/>
        </w:rPr>
        <w:t>万元、专项经费</w:t>
      </w:r>
      <w:r>
        <w:rPr>
          <w:rFonts w:hint="eastAsia"/>
          <w:sz w:val="32"/>
          <w:szCs w:val="32"/>
          <w:u w:val="single"/>
        </w:rPr>
        <w:t xml:space="preserve"> 0 </w:t>
      </w:r>
      <w:r>
        <w:rPr>
          <w:rFonts w:hint="eastAsia"/>
          <w:sz w:val="32"/>
          <w:szCs w:val="32"/>
        </w:rPr>
        <w:t>万元、政府专项经费</w:t>
      </w:r>
      <w:r>
        <w:rPr>
          <w:rFonts w:hint="eastAsia"/>
          <w:sz w:val="32"/>
          <w:szCs w:val="32"/>
          <w:u w:val="single"/>
        </w:rPr>
        <w:t xml:space="preserve">  0 </w:t>
      </w:r>
      <w:r>
        <w:rPr>
          <w:rFonts w:hint="eastAsia"/>
          <w:sz w:val="32"/>
          <w:szCs w:val="32"/>
        </w:rPr>
        <w:t>万元），涵盖项目</w:t>
      </w:r>
      <w:r>
        <w:rPr>
          <w:rFonts w:hint="eastAsia"/>
          <w:sz w:val="32"/>
          <w:szCs w:val="32"/>
          <w:u w:val="single"/>
        </w:rPr>
        <w:t xml:space="preserve"> 1 </w:t>
      </w:r>
      <w:r>
        <w:rPr>
          <w:rFonts w:hint="eastAsia"/>
          <w:sz w:val="32"/>
          <w:szCs w:val="32"/>
        </w:rPr>
        <w:t>个。具体情况如下：</w:t>
      </w:r>
    </w:p>
    <w:p>
      <w:pPr>
        <w:spacing w:line="660" w:lineRule="exact"/>
        <w:ind w:firstLine="480" w:firstLineChars="200"/>
        <w:jc w:val="right"/>
        <w:rPr>
          <w:rFonts w:hint="eastAsia"/>
          <w:sz w:val="32"/>
          <w:szCs w:val="32"/>
        </w:rPr>
      </w:pPr>
      <w:r>
        <w:rPr>
          <w:rFonts w:hint="eastAsia"/>
          <w:sz w:val="24"/>
          <w:szCs w:val="24"/>
        </w:rPr>
        <w:t>金额单位：万元</w:t>
      </w:r>
    </w:p>
    <w:tbl>
      <w:tblPr>
        <w:tblStyle w:val="4"/>
        <w:tblW w:w="95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1362"/>
        <w:gridCol w:w="3282"/>
        <w:gridCol w:w="944"/>
        <w:gridCol w:w="1003"/>
        <w:gridCol w:w="899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13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136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项目类型</w:t>
            </w:r>
          </w:p>
        </w:tc>
        <w:tc>
          <w:tcPr>
            <w:tcW w:w="32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资金用途、使用方向</w:t>
            </w:r>
          </w:p>
        </w:tc>
        <w:tc>
          <w:tcPr>
            <w:tcW w:w="194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预算金额</w:t>
            </w:r>
          </w:p>
        </w:tc>
        <w:tc>
          <w:tcPr>
            <w:tcW w:w="1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13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36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328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9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指标</w:t>
            </w:r>
          </w:p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总额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其中：区级资金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支出总额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其中：区级资金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136" w:type="dxa"/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项目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362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业务工作经费</w:t>
            </w:r>
          </w:p>
        </w:tc>
        <w:tc>
          <w:tcPr>
            <w:tcW w:w="3282" w:type="dxa"/>
            <w:noWrap w:val="0"/>
            <w:vAlign w:val="center"/>
          </w:tcPr>
          <w:p>
            <w:pPr>
              <w:pStyle w:val="7"/>
              <w:widowControl/>
              <w:spacing w:line="400" w:lineRule="exact"/>
              <w:ind w:firstLine="0" w:firstLineChars="0"/>
              <w:rPr>
                <w:rFonts w:hint="eastAsia" w:ascii="仿宋_GB2312" w:hAnsi="仿宋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仿宋_GB2312" w:hAnsi="仿宋"/>
                <w:sz w:val="21"/>
                <w:szCs w:val="21"/>
                <w:shd w:val="clear" w:color="auto" w:fill="FFFFFF"/>
              </w:rPr>
              <w:t>主要用于购买财政票据；财政评审专家工资福利支出；全区财政网络系统维护；绩效评价重点项目评价中介服务费；全区化债工作开支；三资盘活工作开支、全市三资盘活竞赛工作支出；国库集中支付系统管理及支付业务支出；财政统发工资中心系统管理及业务支出。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655.40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780" w:type="dxa"/>
            <w:gridSpan w:val="3"/>
            <w:noWrap w:val="0"/>
            <w:vAlign w:val="center"/>
          </w:tcPr>
          <w:p>
            <w:pPr>
              <w:tabs>
                <w:tab w:val="left" w:pos="2243"/>
              </w:tabs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944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003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99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rPr>
                <w:rFonts w:hint="eastAsia"/>
                <w:sz w:val="21"/>
                <w:szCs w:val="21"/>
              </w:rPr>
            </w:pPr>
          </w:p>
        </w:tc>
      </w:tr>
    </w:tbl>
    <w:p>
      <w:pPr>
        <w:spacing w:line="560" w:lineRule="exact"/>
        <w:ind w:left="640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</w:rPr>
        <w:t>（二）项目绩效</w:t>
      </w:r>
      <w:r>
        <w:rPr>
          <w:rFonts w:eastAsia="楷体_GB2312"/>
          <w:b/>
          <w:bCs/>
          <w:sz w:val="32"/>
          <w:szCs w:val="32"/>
        </w:rPr>
        <w:t>目标</w:t>
      </w:r>
      <w:r>
        <w:rPr>
          <w:rFonts w:hint="eastAsia" w:eastAsia="楷体_GB2312"/>
          <w:b/>
          <w:bCs/>
          <w:sz w:val="32"/>
          <w:szCs w:val="32"/>
        </w:rPr>
        <w:t>情况</w:t>
      </w:r>
    </w:p>
    <w:p>
      <w:pPr>
        <w:spacing w:line="560" w:lineRule="exact"/>
        <w:ind w:firstLine="640" w:firstLineChars="200"/>
        <w:rPr>
          <w:rFonts w:hint="eastAsia"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业务工作经费绩效整体目标：完成2021年财政工作项目，保障区政府安排部署的财政工资落到实处，切实发挥财政职能，为全区经济社会高质量发展提供财政保障。</w:t>
      </w:r>
    </w:p>
    <w:p>
      <w:pPr>
        <w:spacing w:line="560" w:lineRule="exact"/>
        <w:ind w:firstLine="472" w:firstLineChars="147"/>
        <w:rPr>
          <w:rFonts w:hint="eastAsia" w:eastAsia="楷体_GB2312"/>
          <w:b/>
          <w:bCs/>
          <w:sz w:val="32"/>
          <w:szCs w:val="32"/>
        </w:rPr>
      </w:pPr>
      <w:r>
        <w:rPr>
          <w:rFonts w:hint="eastAsia" w:eastAsia="楷体_GB2312"/>
          <w:b/>
          <w:bCs/>
          <w:sz w:val="32"/>
          <w:szCs w:val="32"/>
        </w:rPr>
        <w:t>（三）</w:t>
      </w:r>
      <w:r>
        <w:rPr>
          <w:rFonts w:eastAsia="楷体_GB2312"/>
          <w:b/>
          <w:bCs/>
          <w:sz w:val="32"/>
          <w:szCs w:val="32"/>
        </w:rPr>
        <w:t>资金使用管理情况</w:t>
      </w:r>
    </w:p>
    <w:p>
      <w:pPr>
        <w:spacing w:line="560" w:lineRule="exact"/>
        <w:ind w:firstLine="627" w:firstLineChars="196"/>
        <w:rPr>
          <w:rFonts w:hint="eastAsia" w:ascii="仿宋_GB2312"/>
          <w:bCs/>
          <w:sz w:val="32"/>
          <w:szCs w:val="32"/>
        </w:rPr>
      </w:pPr>
      <w:r>
        <w:rPr>
          <w:rFonts w:hint="eastAsia" w:ascii="仿宋_GB2312"/>
          <w:bCs/>
          <w:sz w:val="32"/>
          <w:szCs w:val="32"/>
        </w:rPr>
        <w:t>一是根据年度工作安排和项目组织实施进度，财政资金分批次支付到位。二是加强专项经费管理，规范专项资金使用，提高财政资金使用效率，要求专项资金严格按照项目内容使用，专项资金全部通过国库集中支付系统支付，确保专款专用、支出合理合规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eastAsia="黑体"/>
          <w:sz w:val="32"/>
          <w:szCs w:val="32"/>
        </w:rPr>
        <w:t>绩效评价工作情况</w:t>
      </w:r>
    </w:p>
    <w:p>
      <w:pPr>
        <w:spacing w:line="560" w:lineRule="exact"/>
        <w:ind w:firstLine="640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我局对照年初项目支出绩效目标，根据项目完成情况，提交项目工作总结等，由办公室整理分析、撰写绩效自评报告，并按程序审批。绩效评价的具体工作步骤如下：</w:t>
      </w:r>
    </w:p>
    <w:p>
      <w:pPr>
        <w:adjustRightInd w:val="0"/>
        <w:snapToGrid w:val="0"/>
        <w:spacing w:line="560" w:lineRule="exact"/>
        <w:ind w:firstLine="643" w:firstLineChars="2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1.完善评价指标体系。</w:t>
      </w:r>
      <w:r>
        <w:rPr>
          <w:rFonts w:ascii="仿宋_GB2312" w:hAnsi="仿宋_GB2312" w:cs="仿宋_GB2312"/>
          <w:sz w:val="32"/>
          <w:szCs w:val="32"/>
        </w:rPr>
        <w:t xml:space="preserve">由办公室牵头、各科室（二级机构）共同参与完善绩效自评共性指标框架，细化个性指标，形成合适的整体支出和项目支出绩效评价指标体系。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2.组织开展绩效自评。</w:t>
      </w:r>
      <w:r>
        <w:rPr>
          <w:rFonts w:ascii="仿宋_GB2312" w:hAnsi="仿宋_GB2312" w:cs="仿宋_GB2312"/>
          <w:sz w:val="32"/>
          <w:szCs w:val="32"/>
        </w:rPr>
        <w:t>组织运用完善后的绩效评价指标体系开展绩效自评</w:t>
      </w:r>
      <w:r>
        <w:rPr>
          <w:rFonts w:hint="eastAsia" w:ascii="仿宋_GB2312" w:hAnsi="仿宋_GB2312" w:cs="仿宋_GB2312"/>
          <w:sz w:val="32"/>
          <w:szCs w:val="32"/>
        </w:rPr>
        <w:t>。各科室（二级机构</w:t>
      </w:r>
      <w:r>
        <w:rPr>
          <w:rFonts w:ascii="仿宋_GB2312" w:hAnsi="仿宋_GB2312" w:cs="仿宋_GB2312"/>
          <w:sz w:val="32"/>
          <w:szCs w:val="32"/>
        </w:rPr>
        <w:t>）</w:t>
      </w:r>
      <w:r>
        <w:rPr>
          <w:rFonts w:hint="eastAsia" w:ascii="仿宋_GB2312" w:hAnsi="仿宋_GB2312" w:cs="仿宋_GB2312"/>
          <w:sz w:val="32"/>
          <w:szCs w:val="32"/>
        </w:rPr>
        <w:t>须提交细化项目的验收资料、统计报表、财政资金使用情况等佐证资料，并</w:t>
      </w:r>
      <w:r>
        <w:rPr>
          <w:rFonts w:ascii="仿宋_GB2312" w:hAnsi="仿宋_GB2312" w:cs="仿宋_GB2312"/>
          <w:sz w:val="32"/>
          <w:szCs w:val="32"/>
        </w:rPr>
        <w:t xml:space="preserve">填写项目支出绩效自评表。 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b/>
          <w:sz w:val="32"/>
          <w:szCs w:val="32"/>
        </w:rPr>
        <w:t>3.撰写绩效自评报告。</w:t>
      </w:r>
      <w:r>
        <w:rPr>
          <w:rFonts w:ascii="仿宋_GB2312" w:hAnsi="仿宋_GB2312" w:cs="仿宋_GB2312"/>
          <w:sz w:val="32"/>
          <w:szCs w:val="32"/>
        </w:rPr>
        <w:t>在完成绩效自我评分的基础上，由办公室牵头</w:t>
      </w:r>
      <w:r>
        <w:rPr>
          <w:rFonts w:hint="eastAsia" w:ascii="仿宋_GB2312" w:hAnsi="仿宋_GB2312" w:cs="仿宋_GB2312"/>
          <w:sz w:val="32"/>
          <w:szCs w:val="32"/>
        </w:rPr>
        <w:t>对业务科室提交的项目总结、数据报表等资料进行整理分析，据此</w:t>
      </w:r>
      <w:r>
        <w:rPr>
          <w:rFonts w:ascii="仿宋_GB2312" w:hAnsi="仿宋_GB2312" w:cs="仿宋_GB2312"/>
          <w:sz w:val="32"/>
          <w:szCs w:val="32"/>
        </w:rPr>
        <w:t>撰写部门整体支出绩效自评报告、项目支出绩效自评报告。</w:t>
      </w:r>
    </w:p>
    <w:p>
      <w:pPr>
        <w:adjustRightInd w:val="0"/>
        <w:snapToGrid w:val="0"/>
        <w:spacing w:line="560" w:lineRule="exact"/>
        <w:ind w:firstLine="643" w:firstLineChars="200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项目支出主要绩效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聚焦优化结构，促进发展发展。一是财税收入量质齐升。为力争财税考核实现“保二争一”目标，我局紧盯收入组织和财源建设，</w:t>
      </w:r>
      <w:r>
        <w:rPr>
          <w:sz w:val="32"/>
          <w:szCs w:val="32"/>
        </w:rPr>
        <w:t>加强</w:t>
      </w:r>
      <w:r>
        <w:rPr>
          <w:rFonts w:hint="eastAsia"/>
          <w:sz w:val="32"/>
          <w:szCs w:val="32"/>
        </w:rPr>
        <w:t>部门</w:t>
      </w:r>
      <w:r>
        <w:rPr>
          <w:sz w:val="32"/>
          <w:szCs w:val="32"/>
        </w:rPr>
        <w:t>联动，</w:t>
      </w:r>
      <w:r>
        <w:rPr>
          <w:rFonts w:hint="eastAsia"/>
          <w:sz w:val="32"/>
          <w:szCs w:val="32"/>
        </w:rPr>
        <w:t>强化重点行业、重点税源、重点企业监管，确保应收尽收。全年完成地方收入99.44亿元，同比增长10.47%，其中市区两级税收完成79.67亿元，同比增长10.69%；税占比为70.32%，在市对区绩效考核中财税指标预计排内五区第二。二是服务企业落地见效。加大产业扶持力度，全年安排产业扶持资金2.17亿元；落实好重点企业联点服务工作，协助中广天择、交水建集团等将工商、税务关系变更至我区；积极帮助企业申报上级财政扶持资金，累计到位上级补助资金1.05亿元。三是营商环境优化提升。落实减税降费政策，坚持普惠性与结构性减税并重，累计为企业减税降费7.0亿元；落实“放管服”要求，全面开通微信、和包、支付宝等移动缴费方式，非税缴费更加便民高效；采取预留采购份额、价格评审优惠等措施，支持中小企业发展。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聚焦为民理财，保障民生民本。一是民生投入持续提高。坚持以人民为中心的发展思想，调整优化支出结构，民生民本支出占一般公共预算支出的82.61%；坚持把教育发展摆在优先位置，区级投入教育资金10亿元；全面落实惠民惠农政策，通过“一卡通”发放惠民补贴21.1万户次、金额1.18亿元。二是防疫资金落实到位。坚决落实防疫资金保障要求，做到三个“第一时间”：对上级决策部署第一时间落实、对疫情防控资金第一时间拨付、对防疫资金使用第一时间跟踪，全年安排疫情防控专项资金3420万元。三是项目建设保障有力。按照“量入为出、突出重点、统筹兼顾”原则，多渠道、全方位筹措资金，共支付节气资金4.4亿元，确保全区重点工程项目顺利推进。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聚焦绩效监管，加强财政管理。一是强化财政资金监管。</w:t>
      </w:r>
      <w:r>
        <w:rPr>
          <w:sz w:val="32"/>
          <w:szCs w:val="32"/>
        </w:rPr>
        <w:t>切实降低行政运行成本</w:t>
      </w:r>
      <w:r>
        <w:rPr>
          <w:rFonts w:hint="eastAsia"/>
          <w:sz w:val="32"/>
          <w:szCs w:val="32"/>
        </w:rPr>
        <w:t>，</w:t>
      </w:r>
      <w:r>
        <w:rPr>
          <w:sz w:val="32"/>
          <w:szCs w:val="32"/>
        </w:rPr>
        <w:t>部门预算一般性项目支出压减率达</w:t>
      </w: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%</w:t>
      </w:r>
      <w:r>
        <w:rPr>
          <w:rFonts w:hint="eastAsia"/>
          <w:sz w:val="32"/>
          <w:szCs w:val="32"/>
        </w:rPr>
        <w:t>；优化财政资金审批流程，修改完善《开福区财政资金审批管理办法》；加大盘活力度，将盘活存量与做优增量相结合，完成“三资”盘活收入8亿元；加强财政评审，完成236个项目结算评审，审定金额32.03亿元，核减3.31亿元，审减率9.38%；严格把好财政资金支付关口，财政集中支付资金51.84亿元，直接支付率94.21%。二是突出科学规范管理。全面推进预决算公开，委托中介机构对全区预决算公开进行专项核查，2020年部门决算得到省财政厅通报表扬；积极开展绩效评价，对所有预算资金要求同步进行预算绩效目标申报，同时对26个项目开展重点评价，涉及资金6.3亿元，评价结果作为预算安排的重要依据；深化财政改革，启动园区体制改革、预算一体化建设；按要求开展公务员工资津贴补贴自查工作。三是聚焦财政风险防控。稳健有序防范化解政府债务风险，累计隐性债务化解进度、年度综合债务率、政府专项债券使用进度等考核指标均全面完成，牢牢守住不发生系统性风险底线。</w:t>
      </w:r>
    </w:p>
    <w:p>
      <w:pPr>
        <w:pBdr>
          <w:bottom w:val="single" w:color="FFFFFF" w:sz="4" w:space="11"/>
        </w:pBdr>
        <w:adjustRightInd w:val="0"/>
        <w:snapToGrid w:val="0"/>
        <w:spacing w:line="570" w:lineRule="exact"/>
        <w:ind w:firstLine="640" w:firstLineChars="200"/>
        <w:rPr>
          <w:rFonts w:hint="eastAsia" w:ascii="仿宋_GB2312"/>
          <w:sz w:val="32"/>
          <w:szCs w:val="32"/>
          <w:shd w:val="clear" w:color="auto" w:fill="FFFFFF"/>
        </w:rPr>
      </w:pPr>
      <w:r>
        <w:rPr>
          <w:rFonts w:hint="eastAsia"/>
          <w:sz w:val="32"/>
          <w:szCs w:val="32"/>
        </w:rPr>
        <w:t>聚焦从严治党，加强机关党建。一是加强思想政治建设。以党史学习教育活动为抓手，系统学习习近平新时代中国特色社会主义思想，及时传达学习十九届六中全会和省、市、区党代会精神；</w:t>
      </w:r>
      <w:r>
        <w:rPr>
          <w:sz w:val="32"/>
          <w:szCs w:val="32"/>
        </w:rPr>
        <w:t>开展重温入党誓词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“</w:t>
      </w:r>
      <w:r>
        <w:rPr>
          <w:rFonts w:hint="eastAsia"/>
          <w:sz w:val="32"/>
          <w:szCs w:val="32"/>
        </w:rPr>
        <w:t>学党史</w:t>
      </w:r>
      <w:r>
        <w:rPr>
          <w:sz w:val="32"/>
          <w:szCs w:val="32"/>
        </w:rPr>
        <w:t>缅怀先烈、</w:t>
      </w:r>
      <w:r>
        <w:rPr>
          <w:rFonts w:hint="eastAsia"/>
          <w:sz w:val="32"/>
          <w:szCs w:val="32"/>
        </w:rPr>
        <w:t>守初心砥砺前行</w:t>
      </w:r>
      <w:r>
        <w:rPr>
          <w:sz w:val="32"/>
          <w:szCs w:val="32"/>
        </w:rPr>
        <w:t>”主题党日活动，</w:t>
      </w:r>
      <w:r>
        <w:rPr>
          <w:rFonts w:hint="eastAsia"/>
          <w:sz w:val="32"/>
          <w:szCs w:val="32"/>
        </w:rPr>
        <w:t>与茶子山村开展结对帮扶活动，将党史学习成果转化为干实事、办实事、干成事的强大动力。二是加强党风廉政建设。认真贯彻执行《党委（党组）落实全面从严治党主体责任规定》，推动主体责任与监督责任贯通联动、形成合力；党组书记带头讲党课，组织学习《中国共产党纪律处分条例》等党规党纪，引导财政干部尊崇党章、敬畏法纪；完善财政管理制度，加强重点岗位、重点人员的监管；推进“清廉财政”建设，严格落实中央八项规定精神和廉洁从政各项制度，坚守底线、不越红线，努力打造“清廉财政、法治财政、阳光财政”。三是加强干部能力建设。围绕法治政府建设要求，深入开展财政法治宣传教育，组织开展《预算法》等法律法规学习培训，稳步推进法治财政建设；通过强化管理、轮岗交流等方式，提升财政干部的责任意识、服务意识和担当意识，努力做到管理更规范、</w:t>
      </w:r>
      <w:r>
        <w:rPr>
          <w:rFonts w:hint="eastAsia" w:ascii="仿宋_GB2312" w:hAnsi="仿宋_GB2312" w:cs="仿宋_GB2312"/>
          <w:sz w:val="32"/>
          <w:szCs w:val="32"/>
        </w:rPr>
        <w:t>工作更高效、服务更热情。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四、存在的问题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 w:ascii="仿宋_GB2312"/>
          <w:sz w:val="32"/>
          <w:szCs w:val="32"/>
        </w:rPr>
      </w:pPr>
      <w:r>
        <w:rPr>
          <w:rFonts w:hint="eastAsia" w:ascii="仿宋_GB2312"/>
          <w:sz w:val="32"/>
          <w:szCs w:val="32"/>
        </w:rPr>
        <w:t>因工作原因，个别项目支出集中在年末，导致个别项目支出进度偏慢。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eastAsia="黑体"/>
          <w:sz w:val="32"/>
          <w:szCs w:val="32"/>
        </w:rPr>
        <w:t>五、有关建议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针对上述存在的问题，下一步我局将从以下方面改进：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一是加强预算管理，落实好过紧日子财政政策，科学铺排项目，合理安排人员、公共经费，确保有财力开展工作，顺利完成好各项工作任务。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二是严格预算约束力，严格执行年初预算，严格执行财经工作纪律，进一步规范政府采购，压缩非必要开支，将钱用在实处、用在关键处。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三是加强财经队伍建设，提高综合素质，合法合规开展工作。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rFonts w:hint="eastAsia"/>
          <w:sz w:val="32"/>
          <w:szCs w:val="32"/>
        </w:rPr>
      </w:pPr>
      <w:r>
        <w:rPr>
          <w:rFonts w:eastAsia="黑体"/>
          <w:sz w:val="32"/>
          <w:szCs w:val="32"/>
        </w:rPr>
        <w:t>六、其他需要说明的问题</w:t>
      </w:r>
    </w:p>
    <w:p>
      <w:pPr>
        <w:pBdr>
          <w:bottom w:val="single" w:color="FFFFFF" w:sz="4" w:space="11"/>
        </w:pBdr>
        <w:spacing w:line="54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无</w:t>
      </w:r>
    </w:p>
    <w:p/>
    <w:p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154" w:right="1474" w:bottom="2041" w:left="1587" w:header="851" w:footer="992" w:gutter="0"/>
      <w:cols w:space="720" w:num="1"/>
      <w:docGrid w:type="lines"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49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Vg8jNEAAAADAQAADwAAAAAAAAABACAAAAAiAAAAZHJzL2Rv&#10;d25yZXYueG1sUEsBAhQAFAAAAAgAh07iQL0M45HPAQAAlwMAAA4AAAAAAAAAAQAgAAAAIA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16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2MDQ0Y2JmNDZjOWZjMDVhZmYxZGEyOWZhNDY0M2YifQ=="/>
  </w:docVars>
  <w:rsids>
    <w:rsidRoot w:val="00000000"/>
    <w:rsid w:val="4B86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2022-09-14T07:45:23Z</dcterms:created>
  <dc:creator>Administrator</dc:creator>
  <cp:lastModifiedBy>Administrator</cp:lastModifiedBy>
  <dcterms:modified xsi:type="dcterms:W3CDTF">2022-09-14T07:45:36Z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1E78F614E5CF4D3ABD5809215B7AF11B</vt:lpwstr>
  </property>
</Properties>
</file>