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仿宋" w:hAnsi="仿宋" w:eastAsia="仿宋" w:cs="仿宋"/>
          <w:i w:val="0"/>
          <w:iCs w:val="0"/>
          <w:caps w:val="0"/>
          <w:color w:val="auto"/>
          <w:spacing w:val="0"/>
          <w:sz w:val="32"/>
          <w:szCs w:val="32"/>
        </w:rPr>
      </w:pPr>
      <w:r>
        <w:rPr>
          <w:rFonts w:hint="eastAsia" w:ascii="黑体" w:hAnsi="黑体" w:eastAsia="黑体" w:cs="黑体"/>
          <w:i w:val="0"/>
          <w:iCs w:val="0"/>
          <w:caps w:val="0"/>
          <w:color w:val="auto"/>
          <w:spacing w:val="0"/>
          <w:sz w:val="48"/>
          <w:szCs w:val="48"/>
          <w:shd w:val="clear" w:fill="FFFFFF"/>
        </w:rPr>
        <w:t>2020年开福区财政局部门决算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仿宋" w:hAnsi="仿宋" w:eastAsia="仿宋" w:cs="仿宋"/>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textAlignment w:val="auto"/>
        <w:rPr>
          <w:rFonts w:hint="eastAsia" w:ascii="黑体" w:hAnsi="黑体" w:eastAsia="黑体" w:cs="黑体"/>
          <w:i w:val="0"/>
          <w:iCs w:val="0"/>
          <w:caps w:val="0"/>
          <w:color w:val="auto"/>
          <w:spacing w:val="0"/>
          <w:sz w:val="32"/>
          <w:szCs w:val="32"/>
        </w:rPr>
      </w:pPr>
      <w:r>
        <w:rPr>
          <w:rStyle w:val="5"/>
          <w:rFonts w:hint="eastAsia" w:ascii="黑体" w:hAnsi="黑体" w:eastAsia="黑体" w:cs="黑体"/>
          <w:i w:val="0"/>
          <w:iCs w:val="0"/>
          <w:caps w:val="0"/>
          <w:color w:val="auto"/>
          <w:spacing w:val="0"/>
          <w:sz w:val="32"/>
          <w:szCs w:val="32"/>
          <w:shd w:val="clear" w:fill="FFFFFF"/>
        </w:rPr>
        <w:t>第一部分 </w:t>
      </w:r>
      <w:r>
        <w:rPr>
          <w:rStyle w:val="5"/>
          <w:rFonts w:hint="eastAsia" w:ascii="黑体" w:hAnsi="黑体" w:eastAsia="黑体" w:cs="黑体"/>
          <w:i w:val="0"/>
          <w:iCs w:val="0"/>
          <w:caps w:val="0"/>
          <w:color w:val="auto"/>
          <w:spacing w:val="0"/>
          <w:sz w:val="32"/>
          <w:szCs w:val="32"/>
          <w:shd w:val="clear" w:fill="FFFFFF"/>
          <w:lang w:val="en-US" w:eastAsia="zh-CN"/>
        </w:rPr>
        <w:t>开福区财政局</w:t>
      </w:r>
      <w:r>
        <w:rPr>
          <w:rStyle w:val="5"/>
          <w:rFonts w:hint="eastAsia" w:ascii="黑体" w:hAnsi="黑体" w:eastAsia="黑体" w:cs="黑体"/>
          <w:i w:val="0"/>
          <w:iCs w:val="0"/>
          <w:caps w:val="0"/>
          <w:color w:val="auto"/>
          <w:spacing w:val="0"/>
          <w:sz w:val="32"/>
          <w:szCs w:val="32"/>
          <w:shd w:val="clear" w:fill="FFFFFF"/>
        </w:rPr>
        <w:t>部门概况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w:t>
      </w:r>
      <w:r>
        <w:rPr>
          <w:rFonts w:hint="eastAsia" w:ascii="仿宋" w:hAnsi="仿宋" w:eastAsia="仿宋" w:cs="仿宋"/>
          <w:color w:val="auto"/>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Fonts w:hint="eastAsia" w:ascii="黑体" w:hAnsi="黑体" w:eastAsia="黑体" w:cs="黑体"/>
          <w:b/>
          <w:bCs/>
          <w:color w:val="auto"/>
          <w:kern w:val="0"/>
          <w:sz w:val="32"/>
          <w:szCs w:val="32"/>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第一部分 </w:t>
      </w:r>
      <w:r>
        <w:rPr>
          <w:rFonts w:hint="eastAsia" w:ascii="黑体" w:hAnsi="黑体" w:eastAsia="黑体" w:cs="黑体"/>
          <w:i w:val="0"/>
          <w:iCs w:val="0"/>
          <w:caps w:val="0"/>
          <w:color w:val="auto"/>
          <w:spacing w:val="0"/>
          <w:sz w:val="44"/>
          <w:szCs w:val="44"/>
          <w:shd w:val="clear" w:fill="FFFFFF"/>
          <w:lang w:val="en-US" w:eastAsia="zh-CN"/>
        </w:rPr>
        <w:t>开福区财政局</w:t>
      </w:r>
      <w:r>
        <w:rPr>
          <w:rFonts w:hint="eastAsia" w:ascii="黑体" w:hAnsi="黑体" w:eastAsia="黑体" w:cs="黑体"/>
          <w:i w:val="0"/>
          <w:iCs w:val="0"/>
          <w:caps w:val="0"/>
          <w:color w:val="auto"/>
          <w:spacing w:val="0"/>
          <w:sz w:val="44"/>
          <w:szCs w:val="44"/>
          <w:shd w:val="clear" w:fill="FFFFFF"/>
        </w:rPr>
        <w:t>部门概况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贯彻执行国家、省、市财税法律、法规和方针政策；制定并组织实施全区与财政有关的规范性文件、实施细则和规章制度；参与制定各项宏观经济政策；提出运用财税政策实施宏观调控和综合平衡社会财力的建议；拟订区与街镇财政分配政策和街镇财政管理体制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（二）承担全区财政收入的组织协调和调度责任，负责财税任务、财源建设专项考核；执行财政、财务、会计、国有资本金基础管理的制度及办法。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负责编制年度区本级预算草案并组织预算执行；编制区本级财政总决算；汇总全区财政收支预算和总决算；受区人民政府委托，向区人大及其常委会报告区本级预算、预算调整、预算执行情况和财政总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（四）负责政府非税收入管理，负责政府性基金管理；管理财政票据。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（五）组织制定国库管理制度、国库集中支付制度，指导和监督全区国库集中支付业务，按规定开展国库资金安全管理工作；负责牵头拟定政府购买服务政策并组织实施；加强行政事业单位工资统发管理。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六）负责全区各街镇财政管理工作，制定并执行街镇财政管理的有关制度、办法，组织实施街镇财政管理方式改革，依法指导、监督街镇的财务活动，规范街镇财政收支行为；加强村（社区）财务管理的监督、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（七）管理全区国有资产；组织实施国有资产的清产核资、产权界定和登记；负责国有资产管理的统计、分析、转让、处置以及产权纠纷调处；负责全面编制国有资产管理有关情况报告。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（八）管理财政经济发展支出；负责对部门预算项目支出和政府投资项目预算进行审核；落实基本建设财务管理制度；负责农业财务、财政支农有关专项资金工作。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（九）执行社会保障资金的财务管理制度；管理财政社会保障、就业及医疗卫生支出。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（十）监督全区财税方针政策、法律法规的执行情况；组织实施本级财政支出绩效评估工作，提出加强财政管理的政策建议；负责全面实施预算绩效管理相关工作。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（十一）负责会计管理工作，监督和规范会计行为，组织实施国家统一的会计制度；监督检查行政事业单位及分行业的会计制度执行情况。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（十二）制定财政科学研究和教育培训规划；组织开展财会人员业务培训，开展财会学术研究；负责财政信息、宣传、调研和信息化建设工作。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（十三）承担地方政府债务核查、监督等相关职责。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二、机构设置及决算单位构成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（一）内设机构设置。</w:t>
      </w:r>
      <w:r>
        <w:rPr>
          <w:rFonts w:hint="eastAsia" w:ascii="仿宋" w:hAnsi="仿宋" w:eastAsia="仿宋" w:cs="仿宋"/>
          <w:i w:val="0"/>
          <w:iCs w:val="0"/>
          <w:caps w:val="0"/>
          <w:color w:val="auto"/>
          <w:spacing w:val="0"/>
          <w:sz w:val="32"/>
          <w:szCs w:val="32"/>
          <w:shd w:val="clear" w:fill="FFFFFF"/>
        </w:rPr>
        <w:t>开福区财政局内设机构9个，</w:t>
      </w: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rPr>
        <w:t>个二级机构。9个内设机构依次是办公室、预算国库科、税政法规科、会计监督与绩效评价科、行政教科文科、街道财政管理科、金融与债务科、经济建设科。</w:t>
      </w: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rPr>
        <w:t>个二级机构依次是财政事务中心、国库集中支付中心、财政统发工资中心、财政评审中心、国有资产事务中心。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（二）决算单位构成。</w:t>
      </w:r>
      <w:r>
        <w:rPr>
          <w:rFonts w:hint="eastAsia" w:ascii="仿宋" w:hAnsi="仿宋" w:eastAsia="仿宋" w:cs="仿宋"/>
          <w:i w:val="0"/>
          <w:iCs w:val="0"/>
          <w:caps w:val="0"/>
          <w:color w:val="auto"/>
          <w:spacing w:val="0"/>
          <w:sz w:val="32"/>
          <w:szCs w:val="32"/>
          <w:shd w:val="clear" w:fill="FFFFFF"/>
        </w:rPr>
        <w:t>开福区财政局2020年部门决算汇总公开单位构成包括开福区财政局单位本级。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第二部分 2020年部门决算表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570"/>
        <w:jc w:val="center"/>
        <w:textAlignment w:val="auto"/>
        <w:rPr>
          <w:rFonts w:hint="eastAsia" w:ascii="仿宋" w:hAnsi="仿宋" w:eastAsia="仿宋" w:cs="仿宋"/>
          <w:b w:val="0"/>
          <w:bCs w:val="0"/>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b w:val="0"/>
          <w:bCs w:val="0"/>
          <w:i w:val="0"/>
          <w:iCs w:val="0"/>
          <w:caps w:val="0"/>
          <w:color w:val="auto"/>
          <w:spacing w:val="0"/>
          <w:sz w:val="32"/>
          <w:szCs w:val="32"/>
          <w:lang w:eastAsia="zh-CN"/>
        </w:rPr>
        <w:t>（</w:t>
      </w:r>
      <w:r>
        <w:rPr>
          <w:rFonts w:hint="eastAsia" w:ascii="仿宋" w:hAnsi="仿宋" w:eastAsia="仿宋" w:cs="仿宋"/>
          <w:b w:val="0"/>
          <w:bCs w:val="0"/>
          <w:i w:val="0"/>
          <w:iCs w:val="0"/>
          <w:caps w:val="0"/>
          <w:color w:val="auto"/>
          <w:spacing w:val="0"/>
          <w:sz w:val="32"/>
          <w:szCs w:val="32"/>
          <w:lang w:val="en-US" w:eastAsia="zh-CN"/>
        </w:rPr>
        <w:t>详情见附件</w:t>
      </w:r>
      <w:r>
        <w:rPr>
          <w:rFonts w:hint="eastAsia" w:ascii="仿宋" w:hAnsi="仿宋" w:eastAsia="仿宋" w:cs="仿宋"/>
          <w:b w:val="0"/>
          <w:bCs w:val="0"/>
          <w:i w:val="0"/>
          <w:iCs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Fonts w:hint="eastAsia" w:ascii="仿宋" w:hAnsi="仿宋" w:eastAsia="仿宋" w:cs="仿宋"/>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第三部分 </w:t>
      </w:r>
      <w:r>
        <w:rPr>
          <w:rStyle w:val="5"/>
          <w:rFonts w:hint="eastAsia" w:ascii="黑体" w:hAnsi="黑体" w:eastAsia="黑体" w:cs="黑体"/>
          <w:i w:val="0"/>
          <w:iCs w:val="0"/>
          <w:caps w:val="0"/>
          <w:color w:val="auto"/>
          <w:spacing w:val="0"/>
          <w:sz w:val="44"/>
          <w:szCs w:val="44"/>
          <w:shd w:val="clear" w:fill="FFFFFF"/>
        </w:rPr>
        <w:t>2020</w:t>
      </w:r>
      <w:r>
        <w:rPr>
          <w:rFonts w:hint="eastAsia" w:ascii="黑体" w:hAnsi="黑体" w:eastAsia="黑体" w:cs="黑体"/>
          <w:i w:val="0"/>
          <w:iCs w:val="0"/>
          <w:caps w:val="0"/>
          <w:color w:val="auto"/>
          <w:spacing w:val="0"/>
          <w:sz w:val="44"/>
          <w:szCs w:val="44"/>
          <w:shd w:val="clear" w:fill="FFFFFF"/>
        </w:rPr>
        <w:t>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b w:val="0"/>
          <w:bCs/>
          <w:i w:val="0"/>
          <w:iCs w:val="0"/>
          <w:caps w:val="0"/>
          <w:color w:val="auto"/>
          <w:spacing w:val="0"/>
          <w:sz w:val="32"/>
          <w:szCs w:val="32"/>
          <w:u w:val="none"/>
        </w:rPr>
      </w:pPr>
      <w:r>
        <w:rPr>
          <w:rStyle w:val="5"/>
          <w:rFonts w:hint="eastAsia" w:ascii="仿宋" w:hAnsi="仿宋" w:eastAsia="仿宋" w:cs="仿宋"/>
          <w:b w:val="0"/>
          <w:bCs/>
          <w:i w:val="0"/>
          <w:iCs w:val="0"/>
          <w:caps w:val="0"/>
          <w:color w:val="auto"/>
          <w:spacing w:val="0"/>
          <w:sz w:val="32"/>
          <w:szCs w:val="32"/>
          <w:u w:val="none"/>
          <w:shd w:val="clear" w:fill="FFFFFF"/>
        </w:rPr>
        <w:t>2020</w:t>
      </w:r>
      <w:r>
        <w:rPr>
          <w:rFonts w:hint="eastAsia" w:ascii="仿宋" w:hAnsi="仿宋" w:eastAsia="仿宋" w:cs="仿宋"/>
          <w:b w:val="0"/>
          <w:bCs/>
          <w:i w:val="0"/>
          <w:iCs w:val="0"/>
          <w:caps w:val="0"/>
          <w:color w:val="auto"/>
          <w:spacing w:val="0"/>
          <w:sz w:val="32"/>
          <w:szCs w:val="32"/>
          <w:u w:val="none"/>
          <w:shd w:val="clear" w:fill="FFFFFF"/>
        </w:rPr>
        <w:t>年度收入总计4716.01万元。与2019年相比，增加2076.16万元，增长</w:t>
      </w:r>
      <w:r>
        <w:rPr>
          <w:rFonts w:hint="eastAsia" w:ascii="仿宋" w:hAnsi="仿宋" w:eastAsia="仿宋" w:cs="仿宋"/>
          <w:b w:val="0"/>
          <w:bCs/>
          <w:i w:val="0"/>
          <w:iCs w:val="0"/>
          <w:caps w:val="0"/>
          <w:color w:val="auto"/>
          <w:spacing w:val="0"/>
          <w:sz w:val="32"/>
          <w:szCs w:val="32"/>
          <w:u w:val="none"/>
          <w:shd w:val="clear" w:fill="FFFFFF"/>
        </w:rPr>
        <w:t>78.6</w:t>
      </w:r>
      <w:r>
        <w:rPr>
          <w:rFonts w:hint="eastAsia" w:ascii="仿宋" w:hAnsi="仿宋" w:eastAsia="仿宋" w:cs="仿宋"/>
          <w:b w:val="0"/>
          <w:bCs/>
          <w:i w:val="0"/>
          <w:iCs w:val="0"/>
          <w:caps w:val="0"/>
          <w:color w:val="auto"/>
          <w:spacing w:val="0"/>
          <w:sz w:val="32"/>
          <w:szCs w:val="32"/>
          <w:u w:val="none"/>
          <w:shd w:val="clear" w:fill="FFFFFF"/>
          <w:lang w:val="en-US" w:eastAsia="zh-CN"/>
        </w:rPr>
        <w:t>5</w:t>
      </w:r>
      <w:r>
        <w:rPr>
          <w:rFonts w:hint="eastAsia" w:ascii="仿宋" w:hAnsi="仿宋" w:eastAsia="仿宋" w:cs="仿宋"/>
          <w:b w:val="0"/>
          <w:bCs/>
          <w:i w:val="0"/>
          <w:iCs w:val="0"/>
          <w:caps w:val="0"/>
          <w:color w:val="auto"/>
          <w:spacing w:val="0"/>
          <w:sz w:val="32"/>
          <w:szCs w:val="32"/>
          <w:u w:val="none"/>
          <w:shd w:val="clear" w:fill="FFFFFF"/>
        </w:rPr>
        <w:t>%</w:t>
      </w:r>
      <w:r>
        <w:rPr>
          <w:rFonts w:hint="eastAsia" w:ascii="仿宋" w:hAnsi="仿宋" w:eastAsia="仿宋" w:cs="仿宋"/>
          <w:b w:val="0"/>
          <w:bCs/>
          <w:i w:val="0"/>
          <w:iCs w:val="0"/>
          <w:caps w:val="0"/>
          <w:color w:val="auto"/>
          <w:spacing w:val="0"/>
          <w:sz w:val="32"/>
          <w:szCs w:val="32"/>
          <w:u w:val="none"/>
          <w:shd w:val="clear" w:fill="FFFFFF"/>
        </w:rPr>
        <w:t>，主要是因为2020年增加了疫情防控企业贴息补贴1787.04万元。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b w:val="0"/>
          <w:bCs/>
          <w:i w:val="0"/>
          <w:iCs w:val="0"/>
          <w:caps w:val="0"/>
          <w:color w:val="auto"/>
          <w:spacing w:val="0"/>
          <w:sz w:val="32"/>
          <w:szCs w:val="32"/>
          <w:u w:val="none"/>
        </w:rPr>
      </w:pPr>
      <w:r>
        <w:rPr>
          <w:rStyle w:val="5"/>
          <w:rFonts w:hint="eastAsia" w:ascii="仿宋" w:hAnsi="仿宋" w:eastAsia="仿宋" w:cs="仿宋"/>
          <w:b w:val="0"/>
          <w:bCs/>
          <w:i w:val="0"/>
          <w:iCs w:val="0"/>
          <w:caps w:val="0"/>
          <w:color w:val="auto"/>
          <w:spacing w:val="0"/>
          <w:sz w:val="32"/>
          <w:szCs w:val="32"/>
          <w:u w:val="none"/>
          <w:shd w:val="clear" w:fill="FFFFFF"/>
        </w:rPr>
        <w:t>2020</w:t>
      </w:r>
      <w:r>
        <w:rPr>
          <w:rFonts w:hint="eastAsia" w:ascii="仿宋" w:hAnsi="仿宋" w:eastAsia="仿宋" w:cs="仿宋"/>
          <w:b w:val="0"/>
          <w:bCs/>
          <w:i w:val="0"/>
          <w:iCs w:val="0"/>
          <w:caps w:val="0"/>
          <w:color w:val="auto"/>
          <w:spacing w:val="0"/>
          <w:sz w:val="32"/>
          <w:szCs w:val="32"/>
          <w:u w:val="none"/>
          <w:shd w:val="clear" w:fill="FFFFFF"/>
        </w:rPr>
        <w:t>年度支出总计4716.01万元。与2019年相比，增加2076.16 万元，增长</w:t>
      </w:r>
      <w:r>
        <w:rPr>
          <w:rFonts w:hint="eastAsia" w:ascii="仿宋" w:hAnsi="仿宋" w:eastAsia="仿宋" w:cs="仿宋"/>
          <w:b w:val="0"/>
          <w:bCs/>
          <w:i w:val="0"/>
          <w:iCs w:val="0"/>
          <w:caps w:val="0"/>
          <w:color w:val="auto"/>
          <w:spacing w:val="0"/>
          <w:sz w:val="32"/>
          <w:szCs w:val="32"/>
          <w:u w:val="none"/>
          <w:shd w:val="clear" w:fill="FFFFFF"/>
        </w:rPr>
        <w:t>78.6</w:t>
      </w:r>
      <w:r>
        <w:rPr>
          <w:rFonts w:hint="eastAsia" w:ascii="仿宋" w:hAnsi="仿宋" w:eastAsia="仿宋" w:cs="仿宋"/>
          <w:b w:val="0"/>
          <w:bCs/>
          <w:i w:val="0"/>
          <w:iCs w:val="0"/>
          <w:caps w:val="0"/>
          <w:color w:val="auto"/>
          <w:spacing w:val="0"/>
          <w:sz w:val="32"/>
          <w:szCs w:val="32"/>
          <w:u w:val="none"/>
          <w:shd w:val="clear" w:fill="FFFFFF"/>
          <w:lang w:val="en-US" w:eastAsia="zh-CN"/>
        </w:rPr>
        <w:t>5</w:t>
      </w:r>
      <w:r>
        <w:rPr>
          <w:rFonts w:hint="eastAsia" w:ascii="仿宋" w:hAnsi="仿宋" w:eastAsia="仿宋" w:cs="仿宋"/>
          <w:b w:val="0"/>
          <w:bCs/>
          <w:i w:val="0"/>
          <w:iCs w:val="0"/>
          <w:caps w:val="0"/>
          <w:color w:val="auto"/>
          <w:spacing w:val="0"/>
          <w:sz w:val="32"/>
          <w:szCs w:val="32"/>
          <w:u w:val="none"/>
          <w:shd w:val="clear" w:fill="FFFFFF"/>
        </w:rPr>
        <w:t>%</w:t>
      </w:r>
      <w:r>
        <w:rPr>
          <w:rFonts w:hint="eastAsia" w:ascii="仿宋" w:hAnsi="仿宋" w:eastAsia="仿宋" w:cs="仿宋"/>
          <w:b w:val="0"/>
          <w:bCs/>
          <w:i w:val="0"/>
          <w:iCs w:val="0"/>
          <w:caps w:val="0"/>
          <w:color w:val="auto"/>
          <w:spacing w:val="0"/>
          <w:sz w:val="32"/>
          <w:szCs w:val="32"/>
          <w:u w:val="none"/>
          <w:shd w:val="clear" w:fill="FFFFFF"/>
        </w:rPr>
        <w:t>，主要是因为2020年增加了疫情防控企业贴息补贴1787.04万元。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u w:val="none"/>
          <w:shd w:val="clear" w:fill="FFFFFF"/>
        </w:rPr>
        <w:t>本年收入合计4264.64万元</w:t>
      </w:r>
      <w:bookmarkStart w:id="0" w:name="_GoBack"/>
      <w:bookmarkEnd w:id="0"/>
      <w:r>
        <w:rPr>
          <w:rFonts w:hint="eastAsia" w:ascii="仿宋" w:hAnsi="仿宋" w:eastAsia="仿宋" w:cs="仿宋"/>
          <w:i w:val="0"/>
          <w:iCs w:val="0"/>
          <w:caps w:val="0"/>
          <w:color w:val="auto"/>
          <w:spacing w:val="0"/>
          <w:sz w:val="32"/>
          <w:szCs w:val="32"/>
          <w:u w:val="none"/>
          <w:shd w:val="clear" w:fill="FFFFFF"/>
        </w:rPr>
        <w:t>，其中：财政拨款收入4264.64万元，占100%；上级补助收入 0万元，占 0%；事业收入 0 万元，占 0 %；经营收入 0万元，占 0%；附属单位上缴收入0万元，占0%；其他收入 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本年支出合计</w:t>
      </w:r>
      <w:r>
        <w:rPr>
          <w:rFonts w:hint="eastAsia" w:ascii="仿宋" w:hAnsi="仿宋" w:eastAsia="仿宋" w:cs="仿宋"/>
          <w:i w:val="0"/>
          <w:iCs w:val="0"/>
          <w:caps w:val="0"/>
          <w:color w:val="auto"/>
          <w:spacing w:val="0"/>
          <w:sz w:val="32"/>
          <w:szCs w:val="32"/>
          <w:u w:val="none"/>
          <w:shd w:val="clear" w:fill="FFFFFF"/>
        </w:rPr>
        <w:t>3982.36万元，其中：基本支出1463.04万元，占</w:t>
      </w:r>
      <w:r>
        <w:rPr>
          <w:rFonts w:hint="eastAsia" w:ascii="仿宋" w:hAnsi="仿宋" w:eastAsia="仿宋" w:cs="仿宋"/>
          <w:i w:val="0"/>
          <w:iCs w:val="0"/>
          <w:caps w:val="0"/>
          <w:color w:val="auto"/>
          <w:spacing w:val="0"/>
          <w:sz w:val="32"/>
          <w:szCs w:val="32"/>
          <w:u w:val="none"/>
          <w:shd w:val="clear" w:fill="FFFFFF"/>
        </w:rPr>
        <w:t>3</w:t>
      </w:r>
      <w:r>
        <w:rPr>
          <w:rFonts w:hint="eastAsia" w:ascii="仿宋" w:hAnsi="仿宋" w:eastAsia="仿宋" w:cs="仿宋"/>
          <w:i w:val="0"/>
          <w:iCs w:val="0"/>
          <w:caps w:val="0"/>
          <w:color w:val="auto"/>
          <w:spacing w:val="0"/>
          <w:sz w:val="32"/>
          <w:szCs w:val="32"/>
          <w:u w:val="none"/>
          <w:shd w:val="clear" w:fill="FFFFFF"/>
          <w:lang w:val="en-US" w:eastAsia="zh-CN"/>
        </w:rPr>
        <w:t>6.74</w:t>
      </w:r>
      <w:r>
        <w:rPr>
          <w:rFonts w:hint="eastAsia" w:ascii="仿宋" w:hAnsi="仿宋" w:eastAsia="仿宋" w:cs="仿宋"/>
          <w:i w:val="0"/>
          <w:iCs w:val="0"/>
          <w:caps w:val="0"/>
          <w:color w:val="auto"/>
          <w:spacing w:val="0"/>
          <w:sz w:val="32"/>
          <w:szCs w:val="32"/>
          <w:u w:val="none"/>
          <w:shd w:val="clear" w:fill="FFFFFF"/>
        </w:rPr>
        <w:t>%</w:t>
      </w:r>
      <w:r>
        <w:rPr>
          <w:rFonts w:hint="eastAsia" w:ascii="仿宋" w:hAnsi="仿宋" w:eastAsia="仿宋" w:cs="仿宋"/>
          <w:i w:val="0"/>
          <w:iCs w:val="0"/>
          <w:caps w:val="0"/>
          <w:color w:val="auto"/>
          <w:spacing w:val="0"/>
          <w:sz w:val="32"/>
          <w:szCs w:val="32"/>
          <w:u w:val="none"/>
          <w:shd w:val="clear" w:fill="FFFFFF"/>
        </w:rPr>
        <w:t>；项目支出2519.32万元，占</w:t>
      </w:r>
      <w:r>
        <w:rPr>
          <w:rFonts w:hint="eastAsia" w:ascii="仿宋" w:hAnsi="仿宋" w:eastAsia="仿宋" w:cs="仿宋"/>
          <w:i w:val="0"/>
          <w:iCs w:val="0"/>
          <w:caps w:val="0"/>
          <w:color w:val="auto"/>
          <w:spacing w:val="0"/>
          <w:sz w:val="32"/>
          <w:szCs w:val="32"/>
          <w:u w:val="none"/>
          <w:shd w:val="clear" w:fill="FFFFFF"/>
        </w:rPr>
        <w:t>6</w:t>
      </w:r>
      <w:r>
        <w:rPr>
          <w:rFonts w:hint="eastAsia" w:ascii="仿宋" w:hAnsi="仿宋" w:eastAsia="仿宋" w:cs="仿宋"/>
          <w:i w:val="0"/>
          <w:iCs w:val="0"/>
          <w:caps w:val="0"/>
          <w:color w:val="auto"/>
          <w:spacing w:val="0"/>
          <w:sz w:val="32"/>
          <w:szCs w:val="32"/>
          <w:u w:val="none"/>
          <w:shd w:val="clear" w:fill="FFFFFF"/>
          <w:lang w:val="en-US" w:eastAsia="zh-CN"/>
        </w:rPr>
        <w:t>3.26</w:t>
      </w:r>
      <w:r>
        <w:rPr>
          <w:rFonts w:hint="eastAsia" w:ascii="仿宋" w:hAnsi="仿宋" w:eastAsia="仿宋" w:cs="仿宋"/>
          <w:i w:val="0"/>
          <w:iCs w:val="0"/>
          <w:caps w:val="0"/>
          <w:color w:val="auto"/>
          <w:spacing w:val="0"/>
          <w:sz w:val="32"/>
          <w:szCs w:val="32"/>
          <w:u w:val="none"/>
          <w:shd w:val="clear" w:fill="FFFFFF"/>
        </w:rPr>
        <w:t>%</w:t>
      </w:r>
      <w:r>
        <w:rPr>
          <w:rFonts w:hint="eastAsia" w:ascii="仿宋" w:hAnsi="仿宋" w:eastAsia="仿宋" w:cs="仿宋"/>
          <w:i w:val="0"/>
          <w:iCs w:val="0"/>
          <w:caps w:val="0"/>
          <w:color w:val="auto"/>
          <w:spacing w:val="0"/>
          <w:sz w:val="32"/>
          <w:szCs w:val="32"/>
          <w:u w:val="none"/>
          <w:shd w:val="clear" w:fill="FFFFFF"/>
        </w:rPr>
        <w:t>；上缴上级支出0万元，占 0%；经营支出0万元，占0%；对附属单位补助支出0万元，占0%</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2020年度财政拨款收入总计</w:t>
      </w:r>
      <w:r>
        <w:rPr>
          <w:rFonts w:hint="eastAsia" w:ascii="仿宋" w:hAnsi="仿宋" w:eastAsia="仿宋" w:cs="仿宋"/>
          <w:b w:val="0"/>
          <w:bCs w:val="0"/>
          <w:i w:val="0"/>
          <w:iCs w:val="0"/>
          <w:caps w:val="0"/>
          <w:color w:val="auto"/>
          <w:spacing w:val="0"/>
          <w:sz w:val="32"/>
          <w:szCs w:val="32"/>
          <w:u w:val="none"/>
          <w:shd w:val="clear" w:fill="FFFFFF"/>
        </w:rPr>
        <w:t>4716.01万元，与2019年相比，增加2076.16 万元，增长</w:t>
      </w:r>
      <w:r>
        <w:rPr>
          <w:rFonts w:hint="eastAsia" w:ascii="仿宋" w:hAnsi="仿宋" w:eastAsia="仿宋" w:cs="仿宋"/>
          <w:b w:val="0"/>
          <w:bCs/>
          <w:i w:val="0"/>
          <w:iCs w:val="0"/>
          <w:caps w:val="0"/>
          <w:color w:val="auto"/>
          <w:spacing w:val="0"/>
          <w:sz w:val="32"/>
          <w:szCs w:val="32"/>
          <w:u w:val="none"/>
          <w:shd w:val="clear" w:fill="FFFFFF"/>
        </w:rPr>
        <w:t>78.6</w:t>
      </w:r>
      <w:r>
        <w:rPr>
          <w:rFonts w:hint="eastAsia" w:ascii="仿宋" w:hAnsi="仿宋" w:eastAsia="仿宋" w:cs="仿宋"/>
          <w:b w:val="0"/>
          <w:bCs/>
          <w:i w:val="0"/>
          <w:iCs w:val="0"/>
          <w:caps w:val="0"/>
          <w:color w:val="auto"/>
          <w:spacing w:val="0"/>
          <w:sz w:val="32"/>
          <w:szCs w:val="32"/>
          <w:u w:val="none"/>
          <w:shd w:val="clear" w:fill="FFFFFF"/>
          <w:lang w:val="en-US" w:eastAsia="zh-CN"/>
        </w:rPr>
        <w:t>5</w:t>
      </w:r>
      <w:r>
        <w:rPr>
          <w:rFonts w:hint="eastAsia" w:ascii="仿宋" w:hAnsi="仿宋" w:eastAsia="仿宋" w:cs="仿宋"/>
          <w:b w:val="0"/>
          <w:bCs/>
          <w:i w:val="0"/>
          <w:iCs w:val="0"/>
          <w:caps w:val="0"/>
          <w:color w:val="auto"/>
          <w:spacing w:val="0"/>
          <w:sz w:val="32"/>
          <w:szCs w:val="32"/>
          <w:u w:val="none"/>
          <w:shd w:val="clear" w:fill="FFFFFF"/>
        </w:rPr>
        <w:t>%</w:t>
      </w:r>
      <w:r>
        <w:rPr>
          <w:rFonts w:hint="eastAsia" w:ascii="仿宋" w:hAnsi="仿宋" w:eastAsia="仿宋" w:cs="仿宋"/>
          <w:i w:val="0"/>
          <w:iCs w:val="0"/>
          <w:caps w:val="0"/>
          <w:color w:val="auto"/>
          <w:spacing w:val="0"/>
          <w:sz w:val="32"/>
          <w:szCs w:val="32"/>
          <w:shd w:val="clear" w:fill="FFFFFF"/>
        </w:rPr>
        <w:t>，因为2020年增加了疫情防控企业贴息补贴1787.04万元。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2020年度财政拨款支出总计4716.01万元，与2019年相比，增加</w:t>
      </w:r>
      <w:r>
        <w:rPr>
          <w:rFonts w:hint="eastAsia" w:ascii="仿宋" w:hAnsi="仿宋" w:eastAsia="仿宋" w:cs="仿宋"/>
          <w:i w:val="0"/>
          <w:iCs w:val="0"/>
          <w:caps w:val="0"/>
          <w:color w:val="auto"/>
          <w:spacing w:val="0"/>
          <w:sz w:val="32"/>
          <w:szCs w:val="32"/>
          <w:u w:val="none"/>
          <w:shd w:val="clear" w:fill="FFFFFF"/>
        </w:rPr>
        <w:t>2076.16 </w:t>
      </w:r>
      <w:r>
        <w:rPr>
          <w:rFonts w:hint="eastAsia" w:ascii="仿宋" w:hAnsi="仿宋" w:eastAsia="仿宋" w:cs="仿宋"/>
          <w:i w:val="0"/>
          <w:iCs w:val="0"/>
          <w:caps w:val="0"/>
          <w:color w:val="auto"/>
          <w:spacing w:val="0"/>
          <w:sz w:val="32"/>
          <w:szCs w:val="32"/>
          <w:shd w:val="clear" w:fill="FFFFFF"/>
        </w:rPr>
        <w:t>万元，增长</w:t>
      </w:r>
      <w:r>
        <w:rPr>
          <w:rFonts w:hint="eastAsia" w:ascii="仿宋" w:hAnsi="仿宋" w:eastAsia="仿宋" w:cs="仿宋"/>
          <w:b w:val="0"/>
          <w:bCs/>
          <w:i w:val="0"/>
          <w:iCs w:val="0"/>
          <w:caps w:val="0"/>
          <w:color w:val="auto"/>
          <w:spacing w:val="0"/>
          <w:sz w:val="32"/>
          <w:szCs w:val="32"/>
          <w:u w:val="none"/>
          <w:shd w:val="clear" w:fill="FFFFFF"/>
        </w:rPr>
        <w:t>78.6</w:t>
      </w:r>
      <w:r>
        <w:rPr>
          <w:rFonts w:hint="eastAsia" w:ascii="仿宋" w:hAnsi="仿宋" w:eastAsia="仿宋" w:cs="仿宋"/>
          <w:b w:val="0"/>
          <w:bCs/>
          <w:i w:val="0"/>
          <w:iCs w:val="0"/>
          <w:caps w:val="0"/>
          <w:color w:val="auto"/>
          <w:spacing w:val="0"/>
          <w:sz w:val="32"/>
          <w:szCs w:val="32"/>
          <w:u w:val="none"/>
          <w:shd w:val="clear" w:fill="FFFFFF"/>
          <w:lang w:val="en-US" w:eastAsia="zh-CN"/>
        </w:rPr>
        <w:t>5</w:t>
      </w:r>
      <w:r>
        <w:rPr>
          <w:rFonts w:hint="eastAsia" w:ascii="仿宋" w:hAnsi="仿宋" w:eastAsia="仿宋" w:cs="仿宋"/>
          <w:b w:val="0"/>
          <w:bCs/>
          <w:i w:val="0"/>
          <w:iCs w:val="0"/>
          <w:caps w:val="0"/>
          <w:color w:val="auto"/>
          <w:spacing w:val="0"/>
          <w:sz w:val="32"/>
          <w:szCs w:val="32"/>
          <w:u w:val="none"/>
          <w:shd w:val="clear" w:fill="FFFFFF"/>
        </w:rPr>
        <w:t>%</w:t>
      </w:r>
      <w:r>
        <w:rPr>
          <w:rFonts w:hint="eastAsia" w:ascii="仿宋" w:hAnsi="仿宋" w:eastAsia="仿宋" w:cs="仿宋"/>
          <w:i w:val="0"/>
          <w:iCs w:val="0"/>
          <w:caps w:val="0"/>
          <w:color w:val="auto"/>
          <w:spacing w:val="0"/>
          <w:sz w:val="32"/>
          <w:szCs w:val="32"/>
          <w:shd w:val="clear" w:fill="FFFFFF"/>
        </w:rPr>
        <w:t>，主要是因为2020年增加了疫情防控企业贴息补贴1787.04万元。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w:t>
      </w:r>
      <w:r>
        <w:rPr>
          <w:rFonts w:hint="eastAsia" w:ascii="仿宋" w:hAnsi="仿宋" w:eastAsia="仿宋" w:cs="仿宋"/>
          <w:i w:val="0"/>
          <w:iCs w:val="0"/>
          <w:caps w:val="0"/>
          <w:color w:val="auto"/>
          <w:spacing w:val="0"/>
          <w:sz w:val="32"/>
          <w:szCs w:val="32"/>
          <w:u w:val="none"/>
          <w:shd w:val="clear" w:fill="FFFFFF"/>
        </w:rPr>
        <w:t>3982.36万元，占本年支出合计的</w:t>
      </w:r>
      <w:r>
        <w:rPr>
          <w:rFonts w:hint="eastAsia" w:ascii="仿宋" w:hAnsi="仿宋" w:eastAsia="仿宋" w:cs="仿宋"/>
          <w:i w:val="0"/>
          <w:iCs w:val="0"/>
          <w:caps w:val="0"/>
          <w:color w:val="auto"/>
          <w:spacing w:val="0"/>
          <w:sz w:val="32"/>
          <w:szCs w:val="32"/>
          <w:u w:val="none"/>
          <w:shd w:val="clear" w:fill="FFFFFF"/>
          <w:lang w:val="en-US" w:eastAsia="zh-CN"/>
        </w:rPr>
        <w:t>100</w:t>
      </w:r>
      <w:r>
        <w:rPr>
          <w:rFonts w:hint="eastAsia" w:ascii="仿宋" w:hAnsi="仿宋" w:eastAsia="仿宋" w:cs="仿宋"/>
          <w:i w:val="0"/>
          <w:iCs w:val="0"/>
          <w:caps w:val="0"/>
          <w:color w:val="auto"/>
          <w:spacing w:val="0"/>
          <w:sz w:val="32"/>
          <w:szCs w:val="32"/>
          <w:u w:val="none"/>
          <w:shd w:val="clear" w:fill="FFFFFF"/>
        </w:rPr>
        <w:t>%，与2019年相比，财政拨款支出增加1798.18万元，增长82.32</w:t>
      </w:r>
      <w:r>
        <w:rPr>
          <w:rFonts w:hint="eastAsia" w:ascii="仿宋" w:hAnsi="仿宋" w:eastAsia="仿宋" w:cs="仿宋"/>
          <w:i w:val="0"/>
          <w:iCs w:val="0"/>
          <w:caps w:val="0"/>
          <w:color w:val="auto"/>
          <w:spacing w:val="0"/>
          <w:sz w:val="32"/>
          <w:szCs w:val="32"/>
          <w:shd w:val="clear" w:fill="FFFFFF"/>
        </w:rPr>
        <w:t>%，主要因为2020年增加了疫情防控企业贴息补贴1787.04万元。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w:t>
      </w:r>
      <w:r>
        <w:rPr>
          <w:rFonts w:hint="eastAsia" w:ascii="仿宋" w:hAnsi="仿宋" w:eastAsia="仿宋" w:cs="仿宋"/>
          <w:i w:val="0"/>
          <w:iCs w:val="0"/>
          <w:caps w:val="0"/>
          <w:color w:val="auto"/>
          <w:spacing w:val="0"/>
          <w:sz w:val="32"/>
          <w:szCs w:val="32"/>
          <w:u w:val="none"/>
          <w:shd w:val="clear" w:fill="FFFFFF"/>
        </w:rPr>
        <w:t>3982.36万元，主要用于以下方面：一般公共服务支出2015.57</w:t>
      </w:r>
      <w:r>
        <w:rPr>
          <w:rFonts w:hint="eastAsia" w:ascii="仿宋" w:hAnsi="仿宋" w:eastAsia="仿宋" w:cs="仿宋"/>
          <w:i w:val="0"/>
          <w:iCs w:val="0"/>
          <w:caps w:val="0"/>
          <w:color w:val="auto"/>
          <w:spacing w:val="0"/>
          <w:sz w:val="32"/>
          <w:szCs w:val="32"/>
          <w:shd w:val="clear" w:fill="FFFFFF"/>
        </w:rPr>
        <w:t>万元，占50.61%；文化旅游体育与传媒支出1万元，占</w:t>
      </w:r>
      <w:r>
        <w:rPr>
          <w:rFonts w:hint="eastAsia" w:ascii="仿宋" w:hAnsi="仿宋" w:eastAsia="仿宋" w:cs="仿宋"/>
          <w:i w:val="0"/>
          <w:iCs w:val="0"/>
          <w:caps w:val="0"/>
          <w:color w:val="auto"/>
          <w:spacing w:val="0"/>
          <w:sz w:val="32"/>
          <w:szCs w:val="32"/>
          <w:shd w:val="clear" w:fill="FFFFFF"/>
        </w:rPr>
        <w:t>0.0</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%；社会保障和就业支出99.89万元，占2.5</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%；卫生健康支出0.40万元，占0.01%；城乡社区支出3.00万元，占0.07%；资源勘探工业信息等支出1万元，占</w:t>
      </w:r>
      <w:r>
        <w:rPr>
          <w:rFonts w:hint="eastAsia" w:ascii="仿宋" w:hAnsi="仿宋" w:eastAsia="仿宋" w:cs="仿宋"/>
          <w:i w:val="0"/>
          <w:iCs w:val="0"/>
          <w:caps w:val="0"/>
          <w:color w:val="auto"/>
          <w:spacing w:val="0"/>
          <w:sz w:val="32"/>
          <w:szCs w:val="32"/>
          <w:shd w:val="clear" w:fill="FFFFFF"/>
        </w:rPr>
        <w:t>0.0</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%；金融支出1787.04万元，占</w:t>
      </w:r>
      <w:r>
        <w:rPr>
          <w:rFonts w:hint="eastAsia" w:ascii="仿宋" w:hAnsi="仿宋" w:eastAsia="仿宋" w:cs="仿宋"/>
          <w:i w:val="0"/>
          <w:iCs w:val="0"/>
          <w:caps w:val="0"/>
          <w:color w:val="auto"/>
          <w:spacing w:val="0"/>
          <w:sz w:val="32"/>
          <w:szCs w:val="32"/>
          <w:shd w:val="clear" w:fill="FFFFFF"/>
        </w:rPr>
        <w:t>44.8</w:t>
      </w:r>
      <w:r>
        <w:rPr>
          <w:rFonts w:hint="eastAsia" w:ascii="仿宋" w:hAnsi="仿宋" w:eastAsia="仿宋" w:cs="仿宋"/>
          <w:i w:val="0"/>
          <w:iCs w:val="0"/>
          <w:caps w:val="0"/>
          <w:color w:val="auto"/>
          <w:spacing w:val="0"/>
          <w:sz w:val="32"/>
          <w:szCs w:val="32"/>
          <w:shd w:val="clear" w:fill="FFFFFF"/>
          <w:lang w:val="en-US" w:eastAsia="zh-CN"/>
        </w:rPr>
        <w:t>7</w:t>
      </w:r>
      <w:r>
        <w:rPr>
          <w:rFonts w:hint="eastAsia" w:ascii="仿宋" w:hAnsi="仿宋" w:eastAsia="仿宋" w:cs="仿宋"/>
          <w:i w:val="0"/>
          <w:iCs w:val="0"/>
          <w:caps w:val="0"/>
          <w:color w:val="auto"/>
          <w:spacing w:val="0"/>
          <w:sz w:val="32"/>
          <w:szCs w:val="32"/>
          <w:shd w:val="clear" w:fill="FFFFFF"/>
        </w:rPr>
        <w:t>%；住房保障支出74.46万元，占1.87%。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2020年度财政拨款支出年初预算数为</w:t>
      </w:r>
      <w:r>
        <w:rPr>
          <w:rFonts w:hint="eastAsia" w:ascii="仿宋" w:hAnsi="仿宋" w:eastAsia="仿宋" w:cs="仿宋"/>
          <w:i w:val="0"/>
          <w:iCs w:val="0"/>
          <w:caps w:val="0"/>
          <w:color w:val="auto"/>
          <w:spacing w:val="0"/>
          <w:sz w:val="32"/>
          <w:szCs w:val="32"/>
          <w:u w:val="none"/>
          <w:shd w:val="clear" w:fill="FFFFFF"/>
        </w:rPr>
        <w:t>2185.71万元，支出决算数为3982.36万元，完成年初预算的182.2</w:t>
      </w:r>
      <w:r>
        <w:rPr>
          <w:rFonts w:hint="eastAsia" w:ascii="仿宋" w:hAnsi="仿宋" w:eastAsia="仿宋" w:cs="仿宋"/>
          <w:i w:val="0"/>
          <w:iCs w:val="0"/>
          <w:caps w:val="0"/>
          <w:color w:val="auto"/>
          <w:spacing w:val="0"/>
          <w:sz w:val="32"/>
          <w:szCs w:val="32"/>
          <w:shd w:val="clear" w:fill="FFFFFF"/>
        </w:rPr>
        <w:t>%，其中：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w:t>
      </w:r>
      <w:r>
        <w:rPr>
          <w:rFonts w:hint="eastAsia" w:ascii="仿宋" w:hAnsi="仿宋" w:eastAsia="仿宋" w:cs="仿宋"/>
          <w:i w:val="0"/>
          <w:iCs w:val="0"/>
          <w:caps w:val="0"/>
          <w:color w:val="auto"/>
          <w:spacing w:val="0"/>
          <w:sz w:val="32"/>
          <w:szCs w:val="32"/>
          <w:shd w:val="clear" w:fill="FFFFFF"/>
        </w:rPr>
        <w:t>一般公共服务支出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财政事务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行政运行</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u w:val="none"/>
          <w:shd w:val="clear" w:fill="FFFFFF"/>
        </w:rPr>
        <w:t>1275.71万元，支出决算为1286.38万元，完成年初预算的100.8%</w:t>
      </w:r>
      <w:r>
        <w:rPr>
          <w:rFonts w:hint="eastAsia" w:ascii="仿宋" w:hAnsi="仿宋" w:eastAsia="仿宋" w:cs="仿宋"/>
          <w:i w:val="0"/>
          <w:iCs w:val="0"/>
          <w:caps w:val="0"/>
          <w:color w:val="auto"/>
          <w:spacing w:val="0"/>
          <w:sz w:val="32"/>
          <w:szCs w:val="32"/>
          <w:shd w:val="clear" w:fill="FFFFFF"/>
        </w:rPr>
        <w:t>，决算数与年初预算数基本持平</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w:t>
      </w:r>
      <w:r>
        <w:rPr>
          <w:rFonts w:hint="eastAsia" w:ascii="仿宋" w:hAnsi="仿宋" w:eastAsia="仿宋" w:cs="仿宋"/>
          <w:i w:val="0"/>
          <w:iCs w:val="0"/>
          <w:caps w:val="0"/>
          <w:color w:val="auto"/>
          <w:spacing w:val="0"/>
          <w:sz w:val="32"/>
          <w:szCs w:val="32"/>
          <w:shd w:val="clear" w:fill="FFFFFF"/>
        </w:rPr>
        <w:t>一般公共服务支出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财政事务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一般行政管理事务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u w:val="none"/>
          <w:shd w:val="clear" w:fill="FFFFFF"/>
        </w:rPr>
        <w:t>759.8万元，支出决算为693.21万元，完成年初预算的91.23</w:t>
      </w:r>
      <w:r>
        <w:rPr>
          <w:rFonts w:hint="eastAsia" w:ascii="仿宋" w:hAnsi="仿宋" w:eastAsia="仿宋" w:cs="仿宋"/>
          <w:i w:val="0"/>
          <w:iCs w:val="0"/>
          <w:caps w:val="0"/>
          <w:color w:val="auto"/>
          <w:spacing w:val="0"/>
          <w:sz w:val="32"/>
          <w:szCs w:val="32"/>
          <w:shd w:val="clear" w:fill="FFFFFF"/>
        </w:rPr>
        <w:t>%，决算数小于年初预算数的主要原因是有些支出集中在农历年底</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w:t>
      </w:r>
      <w:r>
        <w:rPr>
          <w:rFonts w:hint="eastAsia" w:ascii="仿宋" w:hAnsi="仿宋" w:eastAsia="仿宋" w:cs="仿宋"/>
          <w:i w:val="0"/>
          <w:iCs w:val="0"/>
          <w:caps w:val="0"/>
          <w:color w:val="auto"/>
          <w:spacing w:val="0"/>
          <w:sz w:val="32"/>
          <w:szCs w:val="32"/>
          <w:shd w:val="clear" w:fill="FFFFFF"/>
        </w:rPr>
        <w:t>一般公共服务支出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财政事务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 财政国库业务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u w:val="none"/>
          <w:shd w:val="clear" w:fill="FFFFFF"/>
        </w:rPr>
        <w:t>0万元，支出决算为2.33</w:t>
      </w:r>
      <w:r>
        <w:rPr>
          <w:rFonts w:hint="eastAsia" w:ascii="仿宋" w:hAnsi="仿宋" w:eastAsia="仿宋" w:cs="仿宋"/>
          <w:i w:val="0"/>
          <w:iCs w:val="0"/>
          <w:caps w:val="0"/>
          <w:color w:val="auto"/>
          <w:spacing w:val="0"/>
          <w:sz w:val="32"/>
          <w:szCs w:val="32"/>
          <w:shd w:val="clear" w:fill="FFFFFF"/>
        </w:rPr>
        <w:t>万元，决算数大于年初预算数的主要原因是编制本部门年初预算时无此功能科目，编制部门决算时有此功能科目。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4、</w:t>
      </w:r>
      <w:r>
        <w:rPr>
          <w:rFonts w:hint="eastAsia" w:ascii="仿宋" w:hAnsi="仿宋" w:eastAsia="仿宋" w:cs="仿宋"/>
          <w:i w:val="0"/>
          <w:iCs w:val="0"/>
          <w:caps w:val="0"/>
          <w:color w:val="auto"/>
          <w:spacing w:val="0"/>
          <w:sz w:val="32"/>
          <w:szCs w:val="32"/>
          <w:u w:val="none"/>
          <w:shd w:val="clear" w:fill="FFFFFF"/>
        </w:rPr>
        <w:t>一般公共服务支出</w:t>
      </w:r>
      <w:r>
        <w:rPr>
          <w:rFonts w:hint="eastAsia" w:ascii="仿宋" w:hAnsi="仿宋" w:eastAsia="仿宋" w:cs="仿宋"/>
          <w:i w:val="0"/>
          <w:iCs w:val="0"/>
          <w:caps w:val="0"/>
          <w:color w:val="auto"/>
          <w:spacing w:val="0"/>
          <w:sz w:val="32"/>
          <w:szCs w:val="32"/>
          <w:u w:val="none"/>
          <w:shd w:val="clear" w:fill="FFFFFF"/>
          <w:lang w:eastAsia="zh-CN"/>
        </w:rPr>
        <w:t>（</w:t>
      </w:r>
      <w:r>
        <w:rPr>
          <w:rFonts w:hint="eastAsia" w:ascii="仿宋" w:hAnsi="仿宋" w:eastAsia="仿宋" w:cs="仿宋"/>
          <w:i w:val="0"/>
          <w:iCs w:val="0"/>
          <w:caps w:val="0"/>
          <w:color w:val="auto"/>
          <w:spacing w:val="0"/>
          <w:sz w:val="32"/>
          <w:szCs w:val="32"/>
          <w:u w:val="none"/>
          <w:shd w:val="clear" w:fill="FFFFFF"/>
          <w:lang w:val="en-US" w:eastAsia="zh-CN"/>
        </w:rPr>
        <w:t>类</w:t>
      </w:r>
      <w:r>
        <w:rPr>
          <w:rFonts w:hint="eastAsia" w:ascii="仿宋" w:hAnsi="仿宋" w:eastAsia="仿宋" w:cs="仿宋"/>
          <w:i w:val="0"/>
          <w:iCs w:val="0"/>
          <w:caps w:val="0"/>
          <w:color w:val="auto"/>
          <w:spacing w:val="0"/>
          <w:sz w:val="32"/>
          <w:szCs w:val="32"/>
          <w:u w:val="none"/>
          <w:shd w:val="clear" w:fill="FFFFFF"/>
          <w:lang w:eastAsia="zh-CN"/>
        </w:rPr>
        <w:t>）</w:t>
      </w:r>
      <w:r>
        <w:rPr>
          <w:rFonts w:hint="eastAsia" w:ascii="仿宋" w:hAnsi="仿宋" w:eastAsia="仿宋" w:cs="仿宋"/>
          <w:i w:val="0"/>
          <w:iCs w:val="0"/>
          <w:caps w:val="0"/>
          <w:color w:val="auto"/>
          <w:spacing w:val="0"/>
          <w:sz w:val="32"/>
          <w:szCs w:val="32"/>
          <w:u w:val="none"/>
          <w:shd w:val="clear" w:fill="FFFFFF"/>
        </w:rPr>
        <w:t>财政事务</w:t>
      </w:r>
      <w:r>
        <w:rPr>
          <w:rFonts w:hint="eastAsia" w:ascii="仿宋" w:hAnsi="仿宋" w:eastAsia="仿宋" w:cs="仿宋"/>
          <w:i w:val="0"/>
          <w:iCs w:val="0"/>
          <w:caps w:val="0"/>
          <w:color w:val="auto"/>
          <w:spacing w:val="0"/>
          <w:sz w:val="32"/>
          <w:szCs w:val="32"/>
          <w:u w:val="none"/>
          <w:shd w:val="clear" w:fill="FFFFFF"/>
          <w:lang w:eastAsia="zh-CN"/>
        </w:rPr>
        <w:t>（</w:t>
      </w:r>
      <w:r>
        <w:rPr>
          <w:rFonts w:hint="eastAsia" w:ascii="仿宋" w:hAnsi="仿宋" w:eastAsia="仿宋" w:cs="仿宋"/>
          <w:i w:val="0"/>
          <w:iCs w:val="0"/>
          <w:caps w:val="0"/>
          <w:color w:val="auto"/>
          <w:spacing w:val="0"/>
          <w:sz w:val="32"/>
          <w:szCs w:val="32"/>
          <w:u w:val="none"/>
          <w:shd w:val="clear" w:fill="FFFFFF"/>
          <w:lang w:val="en-US" w:eastAsia="zh-CN"/>
        </w:rPr>
        <w:t>款</w:t>
      </w:r>
      <w:r>
        <w:rPr>
          <w:rFonts w:hint="eastAsia" w:ascii="仿宋" w:hAnsi="仿宋" w:eastAsia="仿宋" w:cs="仿宋"/>
          <w:i w:val="0"/>
          <w:iCs w:val="0"/>
          <w:caps w:val="0"/>
          <w:color w:val="auto"/>
          <w:spacing w:val="0"/>
          <w:sz w:val="32"/>
          <w:szCs w:val="32"/>
          <w:u w:val="none"/>
          <w:shd w:val="clear" w:fill="FFFFFF"/>
          <w:lang w:eastAsia="zh-CN"/>
        </w:rPr>
        <w:t>）</w:t>
      </w:r>
      <w:r>
        <w:rPr>
          <w:rFonts w:hint="eastAsia" w:ascii="仿宋" w:hAnsi="仿宋" w:eastAsia="仿宋" w:cs="仿宋"/>
          <w:i w:val="0"/>
          <w:iCs w:val="0"/>
          <w:caps w:val="0"/>
          <w:color w:val="auto"/>
          <w:spacing w:val="0"/>
          <w:sz w:val="32"/>
          <w:szCs w:val="32"/>
          <w:shd w:val="clear" w:fill="FFFFFF"/>
        </w:rPr>
        <w:t>其他财政事务支出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u w:val="none"/>
          <w:shd w:val="clear" w:fill="FFFFFF"/>
        </w:rPr>
        <w:t>0万元，支出决算为17.26</w:t>
      </w:r>
      <w:r>
        <w:rPr>
          <w:rFonts w:hint="eastAsia" w:ascii="仿宋" w:hAnsi="仿宋" w:eastAsia="仿宋" w:cs="仿宋"/>
          <w:i w:val="0"/>
          <w:iCs w:val="0"/>
          <w:caps w:val="0"/>
          <w:color w:val="auto"/>
          <w:spacing w:val="0"/>
          <w:sz w:val="32"/>
          <w:szCs w:val="32"/>
          <w:shd w:val="clear" w:fill="FFFFFF"/>
        </w:rPr>
        <w:t>万元，决算数大于年初预算数的主要原因是编制本部门年初预算时无此功能科目，编制部门决算时有此功能科目。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5、</w:t>
      </w:r>
      <w:r>
        <w:rPr>
          <w:rFonts w:hint="eastAsia" w:ascii="仿宋" w:hAnsi="仿宋" w:eastAsia="仿宋" w:cs="仿宋"/>
          <w:i w:val="0"/>
          <w:iCs w:val="0"/>
          <w:caps w:val="0"/>
          <w:color w:val="auto"/>
          <w:spacing w:val="0"/>
          <w:sz w:val="32"/>
          <w:szCs w:val="32"/>
          <w:shd w:val="clear" w:fill="FFFFFF"/>
        </w:rPr>
        <w:t>一般公共服务支出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）纪检监察事务（</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行政运行</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年初预算为0万元，支出决算为6.58万元，决算数大于年初预算数的主要原因是我单位纪检监察组年初预算在区纪委进行编制，再将具体指标拨付我局，在我局进行开支。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6、</w:t>
      </w:r>
      <w:r>
        <w:rPr>
          <w:rFonts w:hint="eastAsia" w:ascii="仿宋" w:hAnsi="仿宋" w:eastAsia="仿宋" w:cs="仿宋"/>
          <w:i w:val="0"/>
          <w:iCs w:val="0"/>
          <w:caps w:val="0"/>
          <w:color w:val="auto"/>
          <w:spacing w:val="0"/>
          <w:sz w:val="32"/>
          <w:szCs w:val="32"/>
          <w:shd w:val="clear" w:fill="FFFFFF"/>
        </w:rPr>
        <w:t>一般公共服务支出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）纪检监察事务（</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一般行政管理事务</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年初预算为0万元，支出决算为9.8万元，决算数大于年初预算数的主要原因是我单位纪检监察组年初预算在区纪委进行编制，再将具体指标拨付我局，在我局进行开支。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7、</w:t>
      </w:r>
      <w:r>
        <w:rPr>
          <w:rFonts w:hint="eastAsia" w:ascii="仿宋" w:hAnsi="仿宋" w:eastAsia="仿宋" w:cs="仿宋"/>
          <w:i w:val="0"/>
          <w:iCs w:val="0"/>
          <w:caps w:val="0"/>
          <w:color w:val="auto"/>
          <w:spacing w:val="0"/>
          <w:sz w:val="32"/>
          <w:szCs w:val="32"/>
          <w:shd w:val="clear" w:fill="FFFFFF"/>
        </w:rPr>
        <w:t>文化旅游体育与传媒支出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）文化和旅游（</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其他文化和旅游支出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万元，支出决算为</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万元，决算数</w:t>
      </w:r>
      <w:r>
        <w:rPr>
          <w:rFonts w:hint="eastAsia" w:ascii="仿宋" w:hAnsi="仿宋" w:eastAsia="仿宋" w:cs="仿宋"/>
          <w:i w:val="0"/>
          <w:iCs w:val="0"/>
          <w:caps w:val="0"/>
          <w:color w:val="auto"/>
          <w:spacing w:val="0"/>
          <w:sz w:val="32"/>
          <w:szCs w:val="32"/>
          <w:shd w:val="clear" w:fill="FFFFFF"/>
          <w:lang w:val="en-US" w:eastAsia="zh-CN"/>
        </w:rPr>
        <w:t>大</w:t>
      </w:r>
      <w:r>
        <w:rPr>
          <w:rFonts w:hint="eastAsia" w:ascii="仿宋" w:hAnsi="仿宋" w:eastAsia="仿宋" w:cs="仿宋"/>
          <w:i w:val="0"/>
          <w:iCs w:val="0"/>
          <w:caps w:val="0"/>
          <w:color w:val="auto"/>
          <w:spacing w:val="0"/>
          <w:sz w:val="32"/>
          <w:szCs w:val="32"/>
          <w:shd w:val="clear" w:fill="FFFFFF"/>
        </w:rPr>
        <w:t>于年初预算数的主要原因是编制本部门年初预算时无此功能科目，编制部门决算时有此功能科目。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8</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rPr>
        <w:t>社会保障和就业支出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）行政事业单位养老支出（</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行政单位离退休</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年初预算为72.12万元，支出决算为54.19万元，完成年初预算的75.1%，决算数小于年初预算数的主要原因是人员异动。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rPr>
        <w:t>社会保障和就业支出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）行政事业单位养老支出（</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机关事业单位基本养老保险缴费支出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年初预算为0万元，支出决算为38.15万元，决算数大于年初预算数的主要原因是编制本部门年初预算时无此功能科目，编制部门决算时有此功能科目。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10</w:t>
      </w:r>
      <w:r>
        <w:rPr>
          <w:rFonts w:hint="eastAsia" w:ascii="仿宋" w:hAnsi="仿宋" w:eastAsia="仿宋" w:cs="仿宋"/>
          <w:i w:val="0"/>
          <w:iCs w:val="0"/>
          <w:caps w:val="0"/>
          <w:color w:val="auto"/>
          <w:spacing w:val="0"/>
          <w:sz w:val="32"/>
          <w:szCs w:val="32"/>
          <w:shd w:val="clear" w:fill="FFFFFF"/>
        </w:rPr>
        <w:t>、社会保障和就业支出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）行政事业单位养老支出（</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机关事业单位职业年金缴费支出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年初预算为0万元，支出决算为3</w:t>
      </w:r>
      <w:r>
        <w:rPr>
          <w:rFonts w:hint="eastAsia" w:ascii="仿宋" w:hAnsi="仿宋" w:eastAsia="仿宋" w:cs="仿宋"/>
          <w:i w:val="0"/>
          <w:iCs w:val="0"/>
          <w:caps w:val="0"/>
          <w:color w:val="auto"/>
          <w:spacing w:val="0"/>
          <w:sz w:val="32"/>
          <w:szCs w:val="32"/>
          <w:shd w:val="clear" w:fill="FFFFFF"/>
          <w:lang w:val="en-US" w:eastAsia="zh-CN"/>
        </w:rPr>
        <w:t>.26</w:t>
      </w:r>
      <w:r>
        <w:rPr>
          <w:rFonts w:hint="eastAsia" w:ascii="仿宋" w:hAnsi="仿宋" w:eastAsia="仿宋" w:cs="仿宋"/>
          <w:i w:val="0"/>
          <w:iCs w:val="0"/>
          <w:caps w:val="0"/>
          <w:color w:val="auto"/>
          <w:spacing w:val="0"/>
          <w:sz w:val="32"/>
          <w:szCs w:val="32"/>
          <w:shd w:val="clear" w:fill="FFFFFF"/>
        </w:rPr>
        <w:t>万元，决算数大于年初预算数的主要原因是编制本部门年初预算时无此功能科目，编制部门决算时有此功能科目。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11</w:t>
      </w:r>
      <w:r>
        <w:rPr>
          <w:rFonts w:hint="eastAsia" w:ascii="仿宋" w:hAnsi="仿宋" w:eastAsia="仿宋" w:cs="仿宋"/>
          <w:i w:val="0"/>
          <w:iCs w:val="0"/>
          <w:caps w:val="0"/>
          <w:color w:val="auto"/>
          <w:spacing w:val="0"/>
          <w:sz w:val="32"/>
          <w:szCs w:val="32"/>
          <w:shd w:val="clear" w:fill="FFFFFF"/>
        </w:rPr>
        <w:t>、社会保障和就业支出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）残疾人事业（</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）其他残疾人事业支出（</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年初预算为0万元，支出决算为</w:t>
      </w:r>
      <w:r>
        <w:rPr>
          <w:rFonts w:hint="eastAsia" w:ascii="仿宋" w:hAnsi="仿宋" w:eastAsia="仿宋" w:cs="仿宋"/>
          <w:i w:val="0"/>
          <w:iCs w:val="0"/>
          <w:caps w:val="0"/>
          <w:color w:val="auto"/>
          <w:spacing w:val="0"/>
          <w:sz w:val="32"/>
          <w:szCs w:val="32"/>
          <w:shd w:val="clear" w:fill="FFFFFF"/>
          <w:lang w:val="en-US" w:eastAsia="zh-CN"/>
        </w:rPr>
        <w:t>4.28</w:t>
      </w:r>
      <w:r>
        <w:rPr>
          <w:rFonts w:hint="eastAsia" w:ascii="仿宋" w:hAnsi="仿宋" w:eastAsia="仿宋" w:cs="仿宋"/>
          <w:i w:val="0"/>
          <w:iCs w:val="0"/>
          <w:caps w:val="0"/>
          <w:color w:val="auto"/>
          <w:spacing w:val="0"/>
          <w:sz w:val="32"/>
          <w:szCs w:val="32"/>
          <w:shd w:val="clear" w:fill="FFFFFF"/>
        </w:rPr>
        <w:t>万元，决算数大于年初预算数的主要原因是编制本部门年初预算时无此功能科目，编制部门决算时有此功能科目。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12</w:t>
      </w:r>
      <w:r>
        <w:rPr>
          <w:rFonts w:hint="eastAsia" w:ascii="仿宋" w:hAnsi="仿宋" w:eastAsia="仿宋" w:cs="仿宋"/>
          <w:i w:val="0"/>
          <w:iCs w:val="0"/>
          <w:caps w:val="0"/>
          <w:color w:val="auto"/>
          <w:spacing w:val="0"/>
          <w:sz w:val="32"/>
          <w:szCs w:val="32"/>
          <w:shd w:val="clear" w:fill="FFFFFF"/>
        </w:rPr>
        <w:t>、卫生健康支出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）计划生育事务（</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）其他计划生育事务支出（</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年初预算为0万元，支出决算为</w:t>
      </w:r>
      <w:r>
        <w:rPr>
          <w:rFonts w:hint="eastAsia" w:ascii="仿宋" w:hAnsi="仿宋" w:eastAsia="仿宋" w:cs="仿宋"/>
          <w:i w:val="0"/>
          <w:iCs w:val="0"/>
          <w:caps w:val="0"/>
          <w:color w:val="auto"/>
          <w:spacing w:val="0"/>
          <w:sz w:val="32"/>
          <w:szCs w:val="32"/>
          <w:shd w:val="clear" w:fill="FFFFFF"/>
          <w:lang w:val="en-US" w:eastAsia="zh-CN"/>
        </w:rPr>
        <w:t>0.4</w:t>
      </w:r>
      <w:r>
        <w:rPr>
          <w:rFonts w:hint="eastAsia" w:ascii="仿宋" w:hAnsi="仿宋" w:eastAsia="仿宋" w:cs="仿宋"/>
          <w:i w:val="0"/>
          <w:iCs w:val="0"/>
          <w:caps w:val="0"/>
          <w:color w:val="auto"/>
          <w:spacing w:val="0"/>
          <w:sz w:val="32"/>
          <w:szCs w:val="32"/>
          <w:shd w:val="clear" w:fill="FFFFFF"/>
        </w:rPr>
        <w:t>万元，决算数大于年初预算数的主要原因是编制本部门年初预算时无此功能科目，编制部门决算时有此功能科目。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13</w:t>
      </w:r>
      <w:r>
        <w:rPr>
          <w:rFonts w:hint="eastAsia" w:ascii="仿宋" w:hAnsi="仿宋" w:eastAsia="仿宋" w:cs="仿宋"/>
          <w:i w:val="0"/>
          <w:iCs w:val="0"/>
          <w:caps w:val="0"/>
          <w:color w:val="auto"/>
          <w:spacing w:val="0"/>
          <w:sz w:val="32"/>
          <w:szCs w:val="32"/>
          <w:shd w:val="clear" w:fill="FFFFFF"/>
        </w:rPr>
        <w:t>、城乡社区支出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）其他城乡社区支出（</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）其他城乡社区支出（</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年初预算为0万元，支出决算为</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万元，决算数大于年初预算数的主要原因是编制本部门年初预算时无此功能科目，编制部门决算时有此功能科目。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14</w:t>
      </w:r>
      <w:r>
        <w:rPr>
          <w:rFonts w:hint="eastAsia" w:ascii="仿宋" w:hAnsi="仿宋" w:eastAsia="仿宋" w:cs="仿宋"/>
          <w:i w:val="0"/>
          <w:iCs w:val="0"/>
          <w:caps w:val="0"/>
          <w:color w:val="auto"/>
          <w:spacing w:val="0"/>
          <w:sz w:val="32"/>
          <w:szCs w:val="32"/>
          <w:shd w:val="clear" w:fill="FFFFFF"/>
        </w:rPr>
        <w:t>、资源勘探工业信息等支出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）工业和信息产业监管（</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）其他工业和信息产业监管支出（</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年初预算为0万元，支出决算为</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万元，决算数大于年初预算数的主要原因是编制本部门年初预算时无此功能科目，编制部门决算时有此功能科目。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15</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rPr>
        <w:t>金融支出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）金融发展支出（</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利息费用补贴支出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rPr>
        <w:t>年初预算为0万元，支出决算为1787.04万元，决算数大于年初预算数的主要原因是因为疫情原因，2020年发放疫情防控企业贴息补贴1787.04万元</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w:t>
      </w:r>
      <w:r>
        <w:rPr>
          <w:rFonts w:hint="eastAsia" w:ascii="仿宋" w:hAnsi="仿宋" w:eastAsia="仿宋" w:cs="仿宋"/>
          <w:i w:val="0"/>
          <w:iCs w:val="0"/>
          <w:caps w:val="0"/>
          <w:color w:val="auto"/>
          <w:spacing w:val="0"/>
          <w:sz w:val="32"/>
          <w:szCs w:val="32"/>
          <w:shd w:val="clear" w:fill="FFFFFF"/>
          <w:lang w:val="en-US" w:eastAsia="zh-CN"/>
        </w:rPr>
        <w:t>6</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rPr>
        <w:t>住房保障支出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类</w:t>
      </w:r>
      <w:r>
        <w:rPr>
          <w:rFonts w:hint="eastAsia" w:ascii="仿宋" w:hAnsi="仿宋" w:eastAsia="仿宋" w:cs="仿宋"/>
          <w:i w:val="0"/>
          <w:iCs w:val="0"/>
          <w:caps w:val="0"/>
          <w:color w:val="auto"/>
          <w:spacing w:val="0"/>
          <w:sz w:val="32"/>
          <w:szCs w:val="32"/>
          <w:shd w:val="clear" w:fill="FFFFFF"/>
          <w:lang w:eastAsia="zh-CN"/>
        </w:rPr>
        <w:t>）住房改革支出（</w:t>
      </w:r>
      <w:r>
        <w:rPr>
          <w:rFonts w:hint="eastAsia" w:ascii="仿宋" w:hAnsi="仿宋" w:eastAsia="仿宋" w:cs="仿宋"/>
          <w:i w:val="0"/>
          <w:iCs w:val="0"/>
          <w:caps w:val="0"/>
          <w:color w:val="auto"/>
          <w:spacing w:val="0"/>
          <w:sz w:val="32"/>
          <w:szCs w:val="32"/>
          <w:shd w:val="clear" w:fill="FFFFFF"/>
          <w:lang w:val="en-US" w:eastAsia="zh-CN"/>
        </w:rPr>
        <w:t>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rPr>
        <w:t>住房公积金</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年初预算为</w:t>
      </w:r>
      <w:r>
        <w:rPr>
          <w:rFonts w:hint="eastAsia" w:ascii="仿宋" w:hAnsi="仿宋" w:eastAsia="仿宋" w:cs="仿宋"/>
          <w:i w:val="0"/>
          <w:iCs w:val="0"/>
          <w:caps w:val="0"/>
          <w:color w:val="auto"/>
          <w:spacing w:val="0"/>
          <w:sz w:val="32"/>
          <w:szCs w:val="32"/>
          <w:shd w:val="clear" w:fill="FFFFFF"/>
          <w:lang w:val="en-US" w:eastAsia="zh-CN"/>
        </w:rPr>
        <w:t>0</w:t>
      </w:r>
      <w:r>
        <w:rPr>
          <w:rFonts w:hint="eastAsia" w:ascii="仿宋" w:hAnsi="仿宋" w:eastAsia="仿宋" w:cs="仿宋"/>
          <w:i w:val="0"/>
          <w:iCs w:val="0"/>
          <w:caps w:val="0"/>
          <w:color w:val="auto"/>
          <w:spacing w:val="0"/>
          <w:sz w:val="32"/>
          <w:szCs w:val="32"/>
          <w:shd w:val="clear" w:fill="FFFFFF"/>
        </w:rPr>
        <w:t>万元，支出决算为74.46万元，决算数</w:t>
      </w:r>
      <w:r>
        <w:rPr>
          <w:rFonts w:hint="eastAsia" w:ascii="仿宋" w:hAnsi="仿宋" w:eastAsia="仿宋" w:cs="仿宋"/>
          <w:i w:val="0"/>
          <w:iCs w:val="0"/>
          <w:caps w:val="0"/>
          <w:color w:val="auto"/>
          <w:spacing w:val="0"/>
          <w:sz w:val="32"/>
          <w:szCs w:val="32"/>
          <w:shd w:val="clear" w:fill="FFFFFF"/>
          <w:lang w:val="en-US" w:eastAsia="zh-CN"/>
        </w:rPr>
        <w:t>大</w:t>
      </w:r>
      <w:r>
        <w:rPr>
          <w:rFonts w:hint="eastAsia" w:ascii="仿宋" w:hAnsi="仿宋" w:eastAsia="仿宋" w:cs="仿宋"/>
          <w:i w:val="0"/>
          <w:iCs w:val="0"/>
          <w:caps w:val="0"/>
          <w:color w:val="auto"/>
          <w:spacing w:val="0"/>
          <w:sz w:val="32"/>
          <w:szCs w:val="32"/>
          <w:shd w:val="clear" w:fill="FFFFFF"/>
        </w:rPr>
        <w:t>于年初预算数的主要原因是编制本部门年初预算时无此功能科目，编制部门决算时有此功能科目</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2020年度财政拨款基本支出</w:t>
      </w:r>
      <w:r>
        <w:rPr>
          <w:rFonts w:hint="eastAsia" w:ascii="仿宋" w:hAnsi="仿宋" w:eastAsia="仿宋" w:cs="仿宋"/>
          <w:i w:val="0"/>
          <w:iCs w:val="0"/>
          <w:caps w:val="0"/>
          <w:color w:val="auto"/>
          <w:spacing w:val="0"/>
          <w:sz w:val="32"/>
          <w:szCs w:val="32"/>
          <w:u w:val="none"/>
          <w:shd w:val="clear" w:fill="FFFFFF"/>
        </w:rPr>
        <w:t>1463.04万元，其中：人员经费 1406.8万元，占基本支出的96.1</w:t>
      </w:r>
      <w:r>
        <w:rPr>
          <w:rFonts w:hint="eastAsia" w:ascii="仿宋" w:hAnsi="仿宋" w:eastAsia="仿宋" w:cs="仿宋"/>
          <w:i w:val="0"/>
          <w:iCs w:val="0"/>
          <w:caps w:val="0"/>
          <w:color w:val="auto"/>
          <w:spacing w:val="0"/>
          <w:sz w:val="32"/>
          <w:szCs w:val="32"/>
          <w:u w:val="none"/>
          <w:shd w:val="clear" w:fill="FFFFFF"/>
          <w:lang w:val="en-US" w:eastAsia="zh-CN"/>
        </w:rPr>
        <w:t>6</w:t>
      </w:r>
      <w:r>
        <w:rPr>
          <w:rFonts w:hint="eastAsia" w:ascii="仿宋" w:hAnsi="仿宋" w:eastAsia="仿宋" w:cs="仿宋"/>
          <w:i w:val="0"/>
          <w:iCs w:val="0"/>
          <w:caps w:val="0"/>
          <w:color w:val="auto"/>
          <w:spacing w:val="0"/>
          <w:sz w:val="32"/>
          <w:szCs w:val="32"/>
          <w:u w:val="none"/>
          <w:shd w:val="clear" w:fill="FFFFFF"/>
        </w:rPr>
        <w:t>%,主要包括基本工资、奖金、 机关事业单位基本养老保险缴费、 职业年金缴费、职工基本医疗保险缴费、住房公积金、其他工资福利支出、退休费、其他对个人和家庭的补助；公用经费56.24万元，占基本支出的3.8</w:t>
      </w:r>
      <w:r>
        <w:rPr>
          <w:rFonts w:hint="eastAsia" w:ascii="仿宋" w:hAnsi="仿宋" w:eastAsia="仿宋" w:cs="仿宋"/>
          <w:i w:val="0"/>
          <w:iCs w:val="0"/>
          <w:caps w:val="0"/>
          <w:color w:val="auto"/>
          <w:spacing w:val="0"/>
          <w:sz w:val="32"/>
          <w:szCs w:val="32"/>
          <w:u w:val="none"/>
          <w:shd w:val="clear" w:fill="FFFFFF"/>
          <w:lang w:val="en-US" w:eastAsia="zh-CN"/>
        </w:rPr>
        <w:t>4</w:t>
      </w:r>
      <w:r>
        <w:rPr>
          <w:rFonts w:hint="eastAsia" w:ascii="仿宋" w:hAnsi="仿宋" w:eastAsia="仿宋" w:cs="仿宋"/>
          <w:i w:val="0"/>
          <w:iCs w:val="0"/>
          <w:caps w:val="0"/>
          <w:color w:val="auto"/>
          <w:spacing w:val="0"/>
          <w:sz w:val="32"/>
          <w:szCs w:val="32"/>
          <w:shd w:val="clear" w:fill="FFFFFF"/>
        </w:rPr>
        <w:t>%，主要包括办公费、印刷费、邮电费、培训费、工会经费、其他交通费用、其他商品和服务支出、办公设备购置。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shd w:val="clear" w:fill="FFFFFF"/>
        </w:rPr>
        <w:t>“三公”经费财政拨款支出预算为</w:t>
      </w:r>
      <w:r>
        <w:rPr>
          <w:rFonts w:hint="eastAsia" w:ascii="仿宋" w:hAnsi="仿宋" w:eastAsia="仿宋" w:cs="仿宋"/>
          <w:i w:val="0"/>
          <w:iCs w:val="0"/>
          <w:caps w:val="0"/>
          <w:color w:val="auto"/>
          <w:spacing w:val="0"/>
          <w:sz w:val="32"/>
          <w:szCs w:val="32"/>
          <w:u w:val="none"/>
          <w:shd w:val="clear" w:fill="FFFFFF"/>
        </w:rPr>
        <w:t>5.2万元，支出决算为0万元，完成预算的0%，其中：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u w:val="none"/>
          <w:shd w:val="clear" w:fill="FFFFFF"/>
        </w:rPr>
        <w:t>因公出国（境）费支出预算为 0</w:t>
      </w:r>
      <w:r>
        <w:rPr>
          <w:rFonts w:hint="eastAsia" w:ascii="仿宋" w:hAnsi="仿宋" w:eastAsia="仿宋" w:cs="仿宋"/>
          <w:i w:val="0"/>
          <w:iCs w:val="0"/>
          <w:caps w:val="0"/>
          <w:color w:val="auto"/>
          <w:spacing w:val="0"/>
          <w:sz w:val="32"/>
          <w:szCs w:val="32"/>
          <w:shd w:val="clear" w:fill="FFFFFF"/>
        </w:rPr>
        <w:t>万元，支出决算为</w:t>
      </w:r>
      <w:r>
        <w:rPr>
          <w:rFonts w:hint="eastAsia" w:ascii="仿宋" w:hAnsi="仿宋" w:eastAsia="仿宋" w:cs="仿宋"/>
          <w:i w:val="0"/>
          <w:iCs w:val="0"/>
          <w:caps w:val="0"/>
          <w:color w:val="auto"/>
          <w:spacing w:val="0"/>
          <w:sz w:val="32"/>
          <w:szCs w:val="32"/>
          <w:u w:val="none"/>
          <w:shd w:val="clear" w:fill="FFFFFF"/>
        </w:rPr>
        <w:t>0</w:t>
      </w:r>
      <w:r>
        <w:rPr>
          <w:rFonts w:hint="eastAsia" w:ascii="仿宋" w:hAnsi="仿宋" w:eastAsia="仿宋" w:cs="仿宋"/>
          <w:i w:val="0"/>
          <w:iCs w:val="0"/>
          <w:caps w:val="0"/>
          <w:color w:val="auto"/>
          <w:spacing w:val="0"/>
          <w:sz w:val="32"/>
          <w:szCs w:val="32"/>
          <w:shd w:val="clear" w:fill="FFFFFF"/>
        </w:rPr>
        <w:t>万元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决算数与年初预算数持平，</w:t>
      </w:r>
      <w:r>
        <w:rPr>
          <w:rFonts w:hint="eastAsia" w:ascii="仿宋" w:hAnsi="仿宋" w:eastAsia="仿宋" w:cs="仿宋"/>
          <w:i w:val="0"/>
          <w:iCs w:val="0"/>
          <w:caps w:val="0"/>
          <w:color w:val="auto"/>
          <w:spacing w:val="0"/>
          <w:sz w:val="32"/>
          <w:szCs w:val="32"/>
          <w:shd w:val="clear" w:fill="FFFFFF"/>
        </w:rPr>
        <w:t>与2019年决算数</w:t>
      </w:r>
      <w:r>
        <w:rPr>
          <w:rFonts w:hint="eastAsia" w:ascii="仿宋" w:hAnsi="仿宋" w:eastAsia="仿宋" w:cs="仿宋"/>
          <w:i w:val="0"/>
          <w:iCs w:val="0"/>
          <w:caps w:val="0"/>
          <w:color w:val="auto"/>
          <w:spacing w:val="0"/>
          <w:sz w:val="32"/>
          <w:szCs w:val="32"/>
          <w:shd w:val="clear" w:fill="FFFFFF"/>
          <w:lang w:val="en-US" w:eastAsia="zh-CN"/>
        </w:rPr>
        <w:t>持平，主</w:t>
      </w:r>
      <w:r>
        <w:rPr>
          <w:rFonts w:hint="eastAsia" w:ascii="仿宋" w:hAnsi="仿宋" w:eastAsia="仿宋" w:cs="仿宋"/>
          <w:i w:val="0"/>
          <w:iCs w:val="0"/>
          <w:caps w:val="0"/>
          <w:color w:val="auto"/>
          <w:spacing w:val="0"/>
          <w:sz w:val="32"/>
          <w:szCs w:val="32"/>
          <w:shd w:val="clear" w:fill="FFFFFF"/>
          <w:lang w:val="en-US" w:eastAsia="zh-CN"/>
        </w:rPr>
        <w:t>要原因是无</w:t>
      </w:r>
      <w:r>
        <w:rPr>
          <w:rFonts w:hint="eastAsia" w:ascii="仿宋" w:hAnsi="仿宋" w:eastAsia="仿宋" w:cs="仿宋"/>
          <w:i w:val="0"/>
          <w:iCs w:val="0"/>
          <w:caps w:val="0"/>
          <w:color w:val="auto"/>
          <w:spacing w:val="0"/>
          <w:sz w:val="32"/>
          <w:szCs w:val="32"/>
          <w:u w:val="none"/>
          <w:shd w:val="clear" w:fill="FFFFFF"/>
        </w:rPr>
        <w:t>因公出国（境）</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公务接待费支出预算</w:t>
      </w:r>
      <w:r>
        <w:rPr>
          <w:rFonts w:hint="eastAsia" w:ascii="仿宋" w:hAnsi="仿宋" w:eastAsia="仿宋" w:cs="仿宋"/>
          <w:i w:val="0"/>
          <w:iCs w:val="0"/>
          <w:caps w:val="0"/>
          <w:color w:val="auto"/>
          <w:spacing w:val="0"/>
          <w:sz w:val="32"/>
          <w:szCs w:val="32"/>
          <w:u w:val="none"/>
          <w:shd w:val="clear" w:fill="FFFFFF"/>
        </w:rPr>
        <w:t>2万元，支出决算为0万元，完成预算的0</w:t>
      </w:r>
      <w:r>
        <w:rPr>
          <w:rFonts w:hint="eastAsia" w:ascii="仿宋" w:hAnsi="仿宋" w:eastAsia="仿宋" w:cs="仿宋"/>
          <w:i w:val="0"/>
          <w:iCs w:val="0"/>
          <w:caps w:val="0"/>
          <w:color w:val="auto"/>
          <w:spacing w:val="0"/>
          <w:sz w:val="32"/>
          <w:szCs w:val="32"/>
          <w:shd w:val="clear" w:fill="FFFFFF"/>
        </w:rPr>
        <w:t>%，决算数小于年初预算数的主要原因是没有发生公务接待，与上年相等</w:t>
      </w:r>
      <w:r>
        <w:rPr>
          <w:rFonts w:hint="eastAsia" w:ascii="仿宋" w:hAnsi="仿宋" w:eastAsia="仿宋" w:cs="仿宋"/>
          <w:i w:val="0"/>
          <w:iCs w:val="0"/>
          <w:caps w:val="0"/>
          <w:color w:val="auto"/>
          <w:spacing w:val="0"/>
          <w:sz w:val="32"/>
          <w:szCs w:val="32"/>
          <w:shd w:val="clear" w:fill="FFFFFF"/>
          <w:lang w:val="en-US" w:eastAsia="zh-CN"/>
        </w:rPr>
        <w:t>的主要原因是</w:t>
      </w:r>
      <w:r>
        <w:rPr>
          <w:rFonts w:hint="eastAsia" w:ascii="仿宋" w:hAnsi="仿宋" w:eastAsia="仿宋" w:cs="仿宋"/>
          <w:i w:val="0"/>
          <w:iCs w:val="0"/>
          <w:caps w:val="0"/>
          <w:color w:val="auto"/>
          <w:spacing w:val="0"/>
          <w:sz w:val="32"/>
          <w:szCs w:val="32"/>
          <w:shd w:val="clear" w:fill="FFFFFF"/>
        </w:rPr>
        <w:t>均未发生公务接待开支。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公务用车购置费及运行维护费支出预算为</w:t>
      </w:r>
      <w:r>
        <w:rPr>
          <w:rFonts w:hint="eastAsia" w:ascii="仿宋" w:hAnsi="仿宋" w:eastAsia="仿宋" w:cs="仿宋"/>
          <w:i w:val="0"/>
          <w:iCs w:val="0"/>
          <w:caps w:val="0"/>
          <w:color w:val="auto"/>
          <w:spacing w:val="0"/>
          <w:sz w:val="32"/>
          <w:szCs w:val="32"/>
          <w:u w:val="none"/>
          <w:shd w:val="clear" w:fill="FFFFFF"/>
        </w:rPr>
        <w:t>3.2万元，支出决算为0万元，完成预算的0</w:t>
      </w:r>
      <w:r>
        <w:rPr>
          <w:rFonts w:hint="eastAsia" w:ascii="仿宋" w:hAnsi="仿宋" w:eastAsia="仿宋" w:cs="仿宋"/>
          <w:i w:val="0"/>
          <w:iCs w:val="0"/>
          <w:caps w:val="0"/>
          <w:color w:val="auto"/>
          <w:spacing w:val="0"/>
          <w:sz w:val="32"/>
          <w:szCs w:val="32"/>
          <w:shd w:val="clear" w:fill="FFFFFF"/>
        </w:rPr>
        <w:t>%，决算数小于年初预算数的主要原因是公务用车均由后勤服务中心统一派。与上年相比减少</w:t>
      </w:r>
      <w:r>
        <w:rPr>
          <w:rFonts w:hint="eastAsia" w:ascii="仿宋" w:hAnsi="仿宋" w:eastAsia="仿宋" w:cs="仿宋"/>
          <w:i w:val="0"/>
          <w:iCs w:val="0"/>
          <w:caps w:val="0"/>
          <w:color w:val="auto"/>
          <w:spacing w:val="0"/>
          <w:sz w:val="32"/>
          <w:szCs w:val="32"/>
          <w:u w:val="none"/>
          <w:shd w:val="clear" w:fill="FFFFFF"/>
        </w:rPr>
        <w:t>2.19万元，减少 100</w:t>
      </w:r>
      <w:r>
        <w:rPr>
          <w:rFonts w:hint="eastAsia" w:ascii="仿宋" w:hAnsi="仿宋" w:eastAsia="仿宋" w:cs="仿宋"/>
          <w:i w:val="0"/>
          <w:iCs w:val="0"/>
          <w:caps w:val="0"/>
          <w:color w:val="auto"/>
          <w:spacing w:val="0"/>
          <w:sz w:val="32"/>
          <w:szCs w:val="32"/>
          <w:shd w:val="clear" w:fill="FFFFFF"/>
        </w:rPr>
        <w:t>%,减少的主要原因是事业单位改革。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jc w:val="left"/>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 年度“三公”经费财政拨款支出决算中，公务接待费支出决算</w:t>
      </w:r>
      <w:r>
        <w:rPr>
          <w:rFonts w:hint="eastAsia" w:ascii="仿宋" w:hAnsi="仿宋" w:eastAsia="仿宋" w:cs="仿宋"/>
          <w:i w:val="0"/>
          <w:iCs w:val="0"/>
          <w:caps w:val="0"/>
          <w:color w:val="auto"/>
          <w:spacing w:val="0"/>
          <w:sz w:val="32"/>
          <w:szCs w:val="32"/>
          <w:u w:val="none"/>
          <w:shd w:val="clear" w:fill="FFFFFF"/>
        </w:rPr>
        <w:t>0万元，因公出国（境）费支出决算0万元，公务用车购置费及运行维护费支出决算0</w:t>
      </w:r>
      <w:r>
        <w:rPr>
          <w:rFonts w:hint="eastAsia" w:ascii="仿宋" w:hAnsi="仿宋" w:eastAsia="仿宋" w:cs="仿宋"/>
          <w:i w:val="0"/>
          <w:iCs w:val="0"/>
          <w:caps w:val="0"/>
          <w:color w:val="auto"/>
          <w:spacing w:val="0"/>
          <w:sz w:val="32"/>
          <w:szCs w:val="32"/>
          <w:shd w:val="clear" w:fill="FFFFFF"/>
        </w:rPr>
        <w:t>万元。其中：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1、因公出国（境）费支出决算为</w:t>
      </w:r>
      <w:r>
        <w:rPr>
          <w:rFonts w:hint="eastAsia" w:ascii="仿宋" w:hAnsi="仿宋" w:eastAsia="仿宋" w:cs="仿宋"/>
          <w:i w:val="0"/>
          <w:iCs w:val="0"/>
          <w:caps w:val="0"/>
          <w:color w:val="auto"/>
          <w:spacing w:val="0"/>
          <w:sz w:val="32"/>
          <w:szCs w:val="32"/>
          <w:u w:val="none"/>
          <w:shd w:val="clear" w:fill="FFFFFF"/>
        </w:rPr>
        <w:t>0 万元，全年安排因公出国（境）团组0个，累计0</w:t>
      </w:r>
      <w:r>
        <w:rPr>
          <w:rFonts w:hint="eastAsia" w:ascii="仿宋" w:hAnsi="仿宋" w:eastAsia="仿宋" w:cs="仿宋"/>
          <w:i w:val="0"/>
          <w:iCs w:val="0"/>
          <w:caps w:val="0"/>
          <w:color w:val="auto"/>
          <w:spacing w:val="0"/>
          <w:sz w:val="32"/>
          <w:szCs w:val="32"/>
          <w:shd w:val="clear" w:fill="FFFFFF"/>
        </w:rPr>
        <w:t>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2、公务接待费支出决算为</w:t>
      </w:r>
      <w:r>
        <w:rPr>
          <w:rFonts w:hint="eastAsia" w:ascii="仿宋" w:hAnsi="仿宋" w:eastAsia="仿宋" w:cs="仿宋"/>
          <w:i w:val="0"/>
          <w:iCs w:val="0"/>
          <w:caps w:val="0"/>
          <w:color w:val="auto"/>
          <w:spacing w:val="0"/>
          <w:sz w:val="32"/>
          <w:szCs w:val="32"/>
          <w:u w:val="none"/>
          <w:shd w:val="clear" w:fill="FFFFFF"/>
        </w:rPr>
        <w:t>0</w:t>
      </w:r>
      <w:r>
        <w:rPr>
          <w:rFonts w:hint="eastAsia" w:ascii="仿宋" w:hAnsi="仿宋" w:eastAsia="仿宋" w:cs="仿宋"/>
          <w:i w:val="0"/>
          <w:iCs w:val="0"/>
          <w:caps w:val="0"/>
          <w:color w:val="auto"/>
          <w:spacing w:val="0"/>
          <w:sz w:val="32"/>
          <w:szCs w:val="32"/>
          <w:shd w:val="clear" w:fill="FFFFFF"/>
        </w:rPr>
        <w:t>万元，全年共接待来访团组0个、来宾0人次。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3、公务用车购置费及运行维护费支出决算为</w:t>
      </w:r>
      <w:r>
        <w:rPr>
          <w:rFonts w:hint="eastAsia" w:ascii="仿宋" w:hAnsi="仿宋" w:eastAsia="仿宋" w:cs="仿宋"/>
          <w:i w:val="0"/>
          <w:iCs w:val="0"/>
          <w:caps w:val="0"/>
          <w:color w:val="auto"/>
          <w:spacing w:val="0"/>
          <w:sz w:val="32"/>
          <w:szCs w:val="32"/>
          <w:u w:val="none"/>
          <w:shd w:val="clear" w:fill="FFFFFF"/>
        </w:rPr>
        <w:t>0万元，其中：公务用车购置费0万元；公务用车运行维护费0万元，截止2020年 12月31日，我单位开支财政拨款的公务用车保有量为 0</w:t>
      </w:r>
      <w:r>
        <w:rPr>
          <w:rFonts w:hint="eastAsia" w:ascii="仿宋" w:hAnsi="仿宋" w:eastAsia="仿宋" w:cs="仿宋"/>
          <w:i w:val="0"/>
          <w:iCs w:val="0"/>
          <w:caps w:val="0"/>
          <w:color w:val="auto"/>
          <w:spacing w:val="0"/>
          <w:sz w:val="32"/>
          <w:szCs w:val="32"/>
          <w:shd w:val="clear" w:fill="FFFFFF"/>
        </w:rPr>
        <w:t>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本单位无政府性基金收支。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九、关于2020年度预算绩效情况说明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根据预算绩效管理要求，我局对部门整体支出绩效开展了自评，涉及资金759.8万元，自评覆盖率达到100%。绩效自评结果显示，我局2020年度绩效目标完成较好，在预算配置、预算执行、预算管理等方面较好的支持了财政中心工作发展。2020年，我局在区委、区政府的坚强领导下，全面贯彻习近平新时代中国特色社会主义思想和党的十九大精神，坚持稳中求进工作总基调，坚持新发展理念，全面落实高质量发展要求，充分发挥财政职能作用，不断促进我区经济社会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w:t>
      </w:r>
      <w:r>
        <w:rPr>
          <w:rStyle w:val="5"/>
          <w:rFonts w:hint="eastAsia" w:ascii="仿宋" w:hAnsi="仿宋" w:eastAsia="仿宋" w:cs="仿宋"/>
          <w:b w:val="0"/>
          <w:bCs/>
          <w:i w:val="0"/>
          <w:iCs w:val="0"/>
          <w:caps w:val="0"/>
          <w:color w:val="auto"/>
          <w:spacing w:val="0"/>
          <w:sz w:val="32"/>
          <w:szCs w:val="32"/>
          <w:shd w:val="clear" w:fill="FFFFFF"/>
        </w:rPr>
        <w:t>2020</w:t>
      </w:r>
      <w:r>
        <w:rPr>
          <w:rFonts w:hint="eastAsia" w:ascii="仿宋" w:hAnsi="仿宋" w:eastAsia="仿宋" w:cs="仿宋"/>
          <w:i w:val="0"/>
          <w:iCs w:val="0"/>
          <w:caps w:val="0"/>
          <w:color w:val="auto"/>
          <w:spacing w:val="0"/>
          <w:sz w:val="32"/>
          <w:szCs w:val="32"/>
          <w:shd w:val="clear" w:fill="FFFFFF"/>
        </w:rPr>
        <w:t>年度机关运行经费支出</w:t>
      </w:r>
      <w:r>
        <w:rPr>
          <w:rFonts w:hint="eastAsia" w:ascii="仿宋" w:hAnsi="仿宋" w:eastAsia="仿宋" w:cs="仿宋"/>
          <w:i w:val="0"/>
          <w:iCs w:val="0"/>
          <w:caps w:val="0"/>
          <w:color w:val="auto"/>
          <w:spacing w:val="0"/>
          <w:sz w:val="32"/>
          <w:szCs w:val="32"/>
          <w:u w:val="none"/>
          <w:shd w:val="clear" w:fill="FFFFFF"/>
        </w:rPr>
        <w:t>56.24万元，比年初预算数增加减少55.41万元，降低49.6</w:t>
      </w:r>
      <w:r>
        <w:rPr>
          <w:rFonts w:hint="eastAsia" w:ascii="仿宋" w:hAnsi="仿宋" w:eastAsia="仿宋" w:cs="仿宋"/>
          <w:i w:val="0"/>
          <w:iCs w:val="0"/>
          <w:caps w:val="0"/>
          <w:color w:val="auto"/>
          <w:spacing w:val="0"/>
          <w:sz w:val="32"/>
          <w:szCs w:val="32"/>
          <w:shd w:val="clear" w:fill="FFFFFF"/>
        </w:rPr>
        <w:t>%。主要原因是厉行节约。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2020年本部门开支会议费</w:t>
      </w:r>
      <w:r>
        <w:rPr>
          <w:rFonts w:hint="eastAsia" w:ascii="仿宋" w:hAnsi="仿宋" w:eastAsia="仿宋" w:cs="仿宋"/>
          <w:i w:val="0"/>
          <w:iCs w:val="0"/>
          <w:caps w:val="0"/>
          <w:color w:val="auto"/>
          <w:spacing w:val="0"/>
          <w:sz w:val="32"/>
          <w:szCs w:val="32"/>
          <w:u w:val="none"/>
          <w:shd w:val="clear" w:fill="FFFFFF"/>
        </w:rPr>
        <w:t>0万元；开支培训费2.17</w:t>
      </w:r>
      <w:r>
        <w:rPr>
          <w:rFonts w:hint="eastAsia" w:ascii="仿宋" w:hAnsi="仿宋" w:eastAsia="仿宋" w:cs="仿宋"/>
          <w:i w:val="0"/>
          <w:iCs w:val="0"/>
          <w:caps w:val="0"/>
          <w:color w:val="auto"/>
          <w:spacing w:val="0"/>
          <w:sz w:val="32"/>
          <w:szCs w:val="32"/>
          <w:shd w:val="clear" w:fill="FFFFFF"/>
        </w:rPr>
        <w:t>万元，用于开展财政预算编制培训、财政决算编制培训，街道财政所业务培训、国库集中支付业务培训、政府采购业务培训、绩效评价业务培训，培训2000人次。无节庆、晚会、赛事、论坛等活动支出。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本部门2020年度政府采购支出总额185.39万元，其中：政府采购货物支出</w:t>
      </w:r>
      <w:r>
        <w:rPr>
          <w:rFonts w:hint="eastAsia" w:ascii="仿宋" w:hAnsi="仿宋" w:eastAsia="仿宋" w:cs="仿宋"/>
          <w:i w:val="0"/>
          <w:iCs w:val="0"/>
          <w:caps w:val="0"/>
          <w:color w:val="auto"/>
          <w:spacing w:val="0"/>
          <w:sz w:val="32"/>
          <w:szCs w:val="32"/>
          <w:u w:val="none"/>
          <w:shd w:val="clear" w:fill="FFFFFF"/>
        </w:rPr>
        <w:t> 0 万元、政府采购工程支出 0 万元、政府采购服务支出185.39万元。授予中小企业合同金额 0万元，占政府采购支出总额的 0%，其中：授予小微企业合同金额 0 万元，占政府采购支出总额的 0</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8"/>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4"/>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截至2020年12月31日，本单位共有车辆</w:t>
      </w:r>
      <w:r>
        <w:rPr>
          <w:rFonts w:hint="eastAsia" w:ascii="仿宋" w:hAnsi="仿宋" w:eastAsia="仿宋" w:cs="仿宋"/>
          <w:i w:val="0"/>
          <w:iCs w:val="0"/>
          <w:caps w:val="0"/>
          <w:color w:val="auto"/>
          <w:spacing w:val="0"/>
          <w:sz w:val="32"/>
          <w:szCs w:val="32"/>
          <w:u w:val="none"/>
          <w:shd w:val="clear" w:fill="FFFFFF"/>
        </w:rPr>
        <w:t>0 </w:t>
      </w:r>
      <w:r>
        <w:rPr>
          <w:rFonts w:hint="eastAsia" w:ascii="仿宋" w:hAnsi="仿宋" w:eastAsia="仿宋" w:cs="仿宋"/>
          <w:i w:val="0"/>
          <w:iCs w:val="0"/>
          <w:caps w:val="0"/>
          <w:color w:val="auto"/>
          <w:spacing w:val="0"/>
          <w:sz w:val="32"/>
          <w:szCs w:val="32"/>
          <w:shd w:val="clear" w:fill="FFFFFF"/>
        </w:rPr>
        <w:t>辆；</w:t>
      </w:r>
      <w:r>
        <w:rPr>
          <w:rFonts w:hint="eastAsia" w:ascii="仿宋" w:hAnsi="仿宋" w:eastAsia="仿宋" w:cs="仿宋"/>
          <w:i w:val="0"/>
          <w:iCs w:val="0"/>
          <w:caps w:val="0"/>
          <w:color w:val="auto"/>
          <w:spacing w:val="0"/>
          <w:sz w:val="32"/>
          <w:szCs w:val="32"/>
          <w:shd w:val="clear" w:fill="FFFFFF"/>
          <w:lang w:val="en-US" w:eastAsia="zh-CN"/>
        </w:rPr>
        <w:t>其中：</w:t>
      </w:r>
      <w:r>
        <w:rPr>
          <w:rFonts w:hint="eastAsia" w:ascii="仿宋" w:hAnsi="仿宋" w:eastAsia="仿宋" w:cs="仿宋"/>
          <w:i w:val="0"/>
          <w:iCs w:val="0"/>
          <w:caps w:val="0"/>
          <w:color w:val="auto"/>
          <w:spacing w:val="0"/>
          <w:sz w:val="32"/>
          <w:szCs w:val="32"/>
        </w:rPr>
        <w:t>领导干部用车0辆、机要通信用车0辆、应急保障用车0辆、执法执勤用车0辆、特种专业技术用车0辆、其他用车0辆</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shd w:val="clear" w:fill="FFFFFF"/>
        </w:rPr>
        <w:t>单位价值50万元以上通用设备</w:t>
      </w:r>
      <w:r>
        <w:rPr>
          <w:rFonts w:hint="eastAsia" w:ascii="仿宋" w:hAnsi="仿宋" w:eastAsia="仿宋" w:cs="仿宋"/>
          <w:i w:val="0"/>
          <w:iCs w:val="0"/>
          <w:caps w:val="0"/>
          <w:color w:val="auto"/>
          <w:spacing w:val="0"/>
          <w:sz w:val="32"/>
          <w:szCs w:val="32"/>
          <w:u w:val="none"/>
          <w:shd w:val="clear" w:fill="FFFFFF"/>
        </w:rPr>
        <w:t> 0台（套）；单位价值100万元以上专用设备0 </w:t>
      </w:r>
      <w:r>
        <w:rPr>
          <w:rFonts w:hint="eastAsia" w:ascii="仿宋" w:hAnsi="仿宋" w:eastAsia="仿宋" w:cs="仿宋"/>
          <w:i w:val="0"/>
          <w:iCs w:val="0"/>
          <w:caps w:val="0"/>
          <w:color w:val="auto"/>
          <w:spacing w:val="0"/>
          <w:sz w:val="32"/>
          <w:szCs w:val="32"/>
          <w:shd w:val="clear" w:fill="FFFFFF"/>
        </w:rPr>
        <w:t>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both"/>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  </w:t>
      </w:r>
    </w:p>
    <w:p>
      <w:pPr>
        <w:keepNext w:val="0"/>
        <w:keepLines w:val="0"/>
        <w:pageBreakBefore w:val="0"/>
        <w:widowControl/>
        <w:shd w:val="clear" w:color="auto" w:fill="FFFFFF"/>
        <w:kinsoku/>
        <w:wordWrap/>
        <w:overflowPunct/>
        <w:topLinePunct w:val="0"/>
        <w:bidi w:val="0"/>
        <w:snapToGrid/>
        <w:spacing w:line="600" w:lineRule="exact"/>
        <w:ind w:firstLine="420" w:firstLineChars="200"/>
        <w:jc w:val="left"/>
        <w:textAlignment w:val="auto"/>
        <w:rPr>
          <w:rFonts w:hint="eastAsia" w:ascii="仿宋" w:hAnsi="仿宋" w:eastAsia="仿宋" w:cs="仿宋"/>
          <w:color w:val="auto"/>
          <w:kern w:val="2"/>
          <w:sz w:val="32"/>
          <w:szCs w:val="32"/>
          <w:lang w:val="en-US" w:eastAsia="zh-CN" w:bidi="ar-SA"/>
        </w:rPr>
      </w:pPr>
      <w:r>
        <w:rPr>
          <w:rFonts w:hint="eastAsia"/>
          <w:color w:val="auto"/>
          <w:lang w:val="en-US" w:eastAsia="zh-CN"/>
        </w:rPr>
        <w:t xml:space="preserve"> </w:t>
      </w:r>
      <w:r>
        <w:rPr>
          <w:rFonts w:hint="eastAsia" w:ascii="仿宋" w:hAnsi="仿宋" w:eastAsia="仿宋" w:cs="仿宋"/>
          <w:color w:val="auto"/>
          <w:kern w:val="2"/>
          <w:sz w:val="32"/>
          <w:szCs w:val="32"/>
          <w:lang w:val="en-US" w:eastAsia="zh-CN" w:bidi="ar-SA"/>
        </w:rPr>
        <w:t>财政事务：反映财政部门用于预算改革、财政国库集中收付业务、财政监察、信息化建设等财政事务方面的支出。</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基本支出：指为保障机构正常运转、完成日常工作任务而发生的各项支出，包括人员支出和公用支出。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项目支出：指在基本支出以外为完成相关行政任务和事业发展目标所发生的各项支出。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“三公”经费：指通过财政拨款资金安排的因公出国（境）费、公务用车购置及运行费和公务接待费支出。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600" w:lineRule="exact"/>
        <w:textAlignment w:val="auto"/>
        <w:rPr>
          <w:rFonts w:hint="eastAsia"/>
          <w:color w:val="auto"/>
        </w:rPr>
      </w:pPr>
    </w:p>
    <w:p>
      <w:pPr>
        <w:keepNext w:val="0"/>
        <w:keepLines w:val="0"/>
        <w:pageBreakBefore w:val="0"/>
        <w:numPr>
          <w:ilvl w:val="0"/>
          <w:numId w:val="1"/>
        </w:numPr>
        <w:kinsoku/>
        <w:wordWrap/>
        <w:overflowPunct/>
        <w:topLinePunct w:val="0"/>
        <w:bidi w:val="0"/>
        <w:snapToGrid/>
        <w:spacing w:line="600" w:lineRule="exact"/>
        <w:jc w:val="center"/>
        <w:textAlignment w:val="auto"/>
        <w:rPr>
          <w:rFonts w:hint="eastAsia" w:ascii="黑体" w:hAnsi="黑体" w:eastAsia="黑体" w:cs="黑体"/>
          <w:bCs/>
          <w:color w:val="auto"/>
          <w:kern w:val="0"/>
          <w:sz w:val="44"/>
          <w:szCs w:val="44"/>
          <w:lang w:val="en-US" w:eastAsia="zh-CN"/>
        </w:rPr>
      </w:pPr>
      <w:r>
        <w:rPr>
          <w:rFonts w:hint="eastAsia" w:ascii="黑体" w:hAnsi="黑体" w:eastAsia="黑体" w:cs="黑体"/>
          <w:bCs/>
          <w:color w:val="auto"/>
          <w:kern w:val="0"/>
          <w:sz w:val="44"/>
          <w:szCs w:val="44"/>
          <w:lang w:val="en-US" w:eastAsia="zh-CN"/>
        </w:rPr>
        <w:t>附件</w:t>
      </w:r>
    </w:p>
    <w:p>
      <w:pPr>
        <w:keepNext w:val="0"/>
        <w:keepLines w:val="0"/>
        <w:pageBreakBefore w:val="0"/>
        <w:numPr>
          <w:ilvl w:val="0"/>
          <w:numId w:val="0"/>
        </w:numPr>
        <w:kinsoku/>
        <w:wordWrap/>
        <w:overflowPunct/>
        <w:topLinePunct w:val="0"/>
        <w:bidi w:val="0"/>
        <w:snapToGrid/>
        <w:spacing w:line="600" w:lineRule="exact"/>
        <w:jc w:val="both"/>
        <w:textAlignment w:val="auto"/>
        <w:rPr>
          <w:rFonts w:hint="eastAsia" w:ascii="黑体" w:hAnsi="黑体" w:eastAsia="黑体" w:cs="黑体"/>
          <w:bCs/>
          <w:color w:val="auto"/>
          <w:kern w:val="0"/>
          <w:sz w:val="28"/>
          <w:szCs w:val="28"/>
          <w:lang w:val="en-US" w:eastAsia="zh-CN"/>
        </w:rPr>
      </w:pPr>
    </w:p>
    <w:p>
      <w:pPr>
        <w:keepNext w:val="0"/>
        <w:keepLines w:val="0"/>
        <w:pageBreakBefore w:val="0"/>
        <w:kinsoku/>
        <w:wordWrap/>
        <w:overflowPunct/>
        <w:topLinePunct w:val="0"/>
        <w:bidi w:val="0"/>
        <w:snapToGrid/>
        <w:spacing w:line="60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年度部门整体支出绩效评价报告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MDQ0Y2JmNDZjOWZjMDVhZmYxZGEyOWZhNDY0M2YifQ=="/>
  </w:docVars>
  <w:rsids>
    <w:rsidRoot w:val="00000000"/>
    <w:rsid w:val="007D0159"/>
    <w:rsid w:val="0183046B"/>
    <w:rsid w:val="0E304A6D"/>
    <w:rsid w:val="28165097"/>
    <w:rsid w:val="50703B67"/>
    <w:rsid w:val="56780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5607</Words>
  <Characters>6144</Characters>
  <Lines>0</Lines>
  <Paragraphs>0</Paragraphs>
  <TotalTime>3</TotalTime>
  <ScaleCrop>false</ScaleCrop>
  <LinksUpToDate>false</LinksUpToDate>
  <CharactersWithSpaces>6197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2022-08-19T02:59:43Z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993DA52A93B248A19C177C56A66338F4</vt:lpwstr>
  </property>
</Properties>
</file>