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auto"/>
          <w:kern w:val="0"/>
          <w:sz w:val="48"/>
          <w:szCs w:val="48"/>
        </w:rPr>
      </w:pPr>
      <w:r>
        <w:rPr>
          <w:rFonts w:hint="eastAsia" w:ascii="仿宋" w:hAnsi="仿宋" w:eastAsia="仿宋" w:cs="仿宋"/>
          <w:b/>
          <w:bCs/>
          <w:color w:val="auto"/>
          <w:kern w:val="0"/>
          <w:sz w:val="48"/>
          <w:szCs w:val="48"/>
        </w:rPr>
        <w:t>2021年长沙市开福区财政局部门预算</w:t>
      </w:r>
    </w:p>
    <w:p>
      <w:pPr>
        <w:keepNext w:val="0"/>
        <w:keepLines w:val="0"/>
        <w:pageBreakBefore w:val="0"/>
        <w:widowControl/>
        <w:kinsoku/>
        <w:wordWrap/>
        <w:overflowPunct/>
        <w:topLinePunct w:val="0"/>
        <w:autoSpaceDE/>
        <w:autoSpaceDN/>
        <w:bidi w:val="0"/>
        <w:adjustRightInd/>
        <w:snapToGrid/>
        <w:spacing w:line="600" w:lineRule="exact"/>
        <w:textAlignment w:val="auto"/>
        <w:outlineLvl w:val="2"/>
        <w:rPr>
          <w:rFonts w:hint="eastAsia" w:ascii="仿宋" w:hAnsi="仿宋" w:eastAsia="仿宋" w:cs="仿宋"/>
          <w:b/>
          <w:bCs/>
          <w:color w:val="auto"/>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9、国有资本经营预算支出表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å¾®è½¯é›…é»‘" w:hAnsi="宋体" w:cs="宋体"/>
          <w:color w:val="auto"/>
          <w:kern w:val="0"/>
          <w:szCs w:val="21"/>
        </w:rPr>
      </w:pPr>
      <w:r>
        <w:rPr>
          <w:rFonts w:hint="eastAsia" w:ascii="å¾®è½¯é›…é»‘" w:hAnsi="宋体" w:eastAsia="å¾®è½¯é›…é»‘" w:cs="宋体"/>
          <w:color w:val="auto"/>
          <w:kern w:val="0"/>
          <w:szCs w:val="21"/>
        </w:rPr>
        <w:t>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å¾®è½¯é›…é»‘" w:hAnsi="宋体" w:cs="宋体"/>
          <w:color w:val="auto"/>
          <w:kern w:val="0"/>
          <w:szCs w:val="21"/>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color w:val="auto"/>
          <w:kern w:val="0"/>
          <w:sz w:val="36"/>
          <w:szCs w:val="36"/>
        </w:rPr>
      </w:pPr>
      <w:r>
        <w:rPr>
          <w:rFonts w:hint="eastAsia" w:ascii="黑体" w:hAnsi="黑体" w:eastAsia="黑体" w:cs="黑体"/>
          <w:b/>
          <w:color w:val="auto"/>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å¾®è½¯é›…é»‘" w:hAnsi="宋体" w:cs="宋体"/>
          <w:color w:val="auto"/>
          <w:kern w:val="0"/>
          <w:szCs w:val="21"/>
        </w:rPr>
      </w:pPr>
      <w:r>
        <w:rPr>
          <w:rFonts w:hint="eastAsia" w:ascii="å¾®è½¯é›…é»‘" w:hAnsi="宋体" w:eastAsia="å¾®è½¯é›…é»‘" w:cs="宋体"/>
          <w:color w:val="auto"/>
          <w:kern w:val="0"/>
          <w:szCs w:val="21"/>
        </w:rPr>
        <w:t>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cs="仿宋"/>
          <w:b/>
          <w:color w:val="auto"/>
          <w:sz w:val="32"/>
          <w:szCs w:val="32"/>
        </w:rPr>
      </w:pPr>
      <w:r>
        <w:rPr>
          <w:rFonts w:hint="eastAsia" w:ascii="å¾®è½¯é›…é»‘" w:hAnsi="宋体" w:eastAsia="å¾®è½¯é›…é»‘" w:cs="宋体"/>
          <w:color w:val="auto"/>
          <w:kern w:val="0"/>
          <w:szCs w:val="21"/>
        </w:rPr>
        <w:t> </w:t>
      </w:r>
      <w:r>
        <w:rPr>
          <w:rFonts w:hint="eastAsia" w:ascii="å¾®è½¯é›…é»‘" w:hAnsi="宋体" w:cs="宋体"/>
          <w:color w:val="auto"/>
          <w:kern w:val="0"/>
          <w:szCs w:val="21"/>
        </w:rPr>
        <w:t xml:space="preserve"> </w:t>
      </w:r>
      <w:r>
        <w:rPr>
          <w:rFonts w:ascii="å¾®è½¯é›…é»‘" w:hAnsi="宋体" w:cs="宋体"/>
          <w:color w:val="auto"/>
          <w:kern w:val="0"/>
          <w:szCs w:val="21"/>
        </w:rPr>
        <w:t xml:space="preserve"> </w:t>
      </w:r>
      <w:r>
        <w:rPr>
          <w:rFonts w:hint="eastAsia" w:ascii="仿宋" w:hAnsi="仿宋" w:eastAsia="仿宋" w:cs="仿宋"/>
          <w:b/>
          <w:color w:val="auto"/>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贯彻执行国家、省、市财税法律、法规和方针政策；制定并组织实施全区与财政有关的规范性文件、实施细则和规章制度；参与制定各项宏观经济政策；提出运用财税政策实施宏观调控和综合平衡社会财力的建议；拟订区与街镇财政分配政策和街镇财政管理体制并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2、承担全区财政收入的组织协调和调度责任，负责财税任务、财源建设专项考核；执行财政、财务、会计、国有资本金基础管理的制度及办法。</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 xml:space="preserve">  </w:t>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rPr>
        <w:t>3、负责编制年度区本级预算草案并组织预算执行；编制区本级财政总决算；汇总全区财政收支预算和总决算；受区人民政府委托，向区人大及其常委会报告区本级预算、预算调整、预算执行情况和财政总决算；组织制定区本级经费开支标准、定额草案，对区本级各部门（单位）的预算编制、执行、调整和决算实施监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4、负责政府非税收入管理，负责政府性基金管理；负责行政事业性收费项目和标准的审核，参与制定、调整行政事业性收费标准，管理财政票据。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5、组织制定国库管理制度、国库集中支付制度，指导和监督全区国库集中支付业务，按规定开展国库资金安全管理工作；制定政府采购相关制度并监督实施；加强行政事业单位工资统发管理。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6、负责全区各街镇财政管理工作，制定并执行街镇财政管理的有关制度、办法，组织实施街镇财政管理方式改革，依法指导、监督街镇的财务活动，规范街镇财政收支行为；加强村（社区）财务管理的监督、指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7、管理全区国有资产；组织实施国有资产的清产核资、产权界定和登记；负责国有资产管理的统计、分析、转让、处置以及产权纠纷调处。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8、管理财政经济发展支出；负责对部门预算项目支出和政府投资项目预算进行审核；落实基本建设财务管理制度；负责农业财务、财政支农有关专项资金和农业综合开发的管理工作。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9、执行社会保障资金的财务管理制度；管理财政社会保障、就业及医疗卫生支出。</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  10、监督全区财税方针政策、法律法规的执行情况；检查并反映财政收支管理中的重大问题；组织实施本级财政支出绩效评估工作，提出加强财政管理的政策建议。</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  11、负责会计管理工作，监督和规范会计行为，组织实施国家统一的会计制度；监督检查行政事业单位及分行业的会计制度执行情况。</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  12、制定财政科学研究和教育培训规划；组织开展财会人员业务培训，开展财会学术研究；负责财政信息、宣传、调研和信息化建设工作。</w:t>
      </w:r>
    </w:p>
    <w:p>
      <w:pPr>
        <w:keepNext w:val="0"/>
        <w:keepLines w:val="0"/>
        <w:pageBreakBefore w:val="0"/>
        <w:widowControl/>
        <w:kinsoku/>
        <w:wordWrap/>
        <w:overflowPunct/>
        <w:topLinePunct w:val="0"/>
        <w:autoSpaceDE/>
        <w:autoSpaceDN/>
        <w:bidi w:val="0"/>
        <w:adjustRightInd/>
        <w:snapToGrid/>
        <w:spacing w:line="600" w:lineRule="exact"/>
        <w:ind w:firstLine="634"/>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（二）机构设置。</w:t>
      </w:r>
      <w:r>
        <w:rPr>
          <w:rFonts w:hint="eastAsia" w:ascii="仿宋" w:hAnsi="仿宋" w:eastAsia="仿宋" w:cs="仿宋"/>
          <w:bCs/>
          <w:color w:val="auto"/>
          <w:kern w:val="0"/>
          <w:sz w:val="32"/>
          <w:szCs w:val="32"/>
        </w:rPr>
        <w:t>开福区财政局内设机构9个，5个二级机构。9个内设机构依次是办公室、预算国库科、税政法规科（企业科）、会计监督与绩效评价科（行政审批和政务服务科）、行政教科文科、街道财政管理科（农业科）、社保科、金融与债务科、经济建设科。5个二级机构依次是财政事务中心、国库集中支付中心、财政统发工资中心、财政评审中心、国有资产事务中心。编制数39人，在职人数35人，退休人员13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cs="仿宋"/>
          <w:bCs/>
          <w:color w:val="auto"/>
          <w:kern w:val="0"/>
          <w:sz w:val="32"/>
          <w:szCs w:val="32"/>
        </w:rPr>
      </w:pPr>
      <w:r>
        <w:rPr>
          <w:rFonts w:hint="eastAsia" w:ascii="å¾®è½¯é›…é»‘" w:hAnsi="宋体" w:eastAsia="å¾®è½¯é›…é»‘" w:cs="宋体"/>
          <w:color w:val="auto"/>
          <w:kern w:val="0"/>
          <w:szCs w:val="21"/>
        </w:rPr>
        <w:t>  </w:t>
      </w:r>
      <w:r>
        <w:rPr>
          <w:rFonts w:hint="eastAsia" w:ascii="å¾®è½¯é›…é»‘" w:hAnsi="宋体" w:eastAsia="宋体" w:cs="宋体"/>
          <w:color w:val="auto"/>
          <w:kern w:val="0"/>
          <w:szCs w:val="21"/>
          <w:lang w:val="en-US" w:eastAsia="zh-CN"/>
        </w:rPr>
        <w:t xml:space="preserve">    </w:t>
      </w:r>
      <w:r>
        <w:rPr>
          <w:rFonts w:hint="eastAsia" w:ascii="仿宋" w:hAnsi="仿宋" w:eastAsia="仿宋" w:cs="仿宋"/>
          <w:bCs/>
          <w:color w:val="auto"/>
          <w:kern w:val="0"/>
          <w:sz w:val="32"/>
          <w:szCs w:val="32"/>
        </w:rPr>
        <w:t>纳入2021年部门预算编制范围的只有开福区财政局本级，没有其他预算单位，因此本部门预算仅含本级预算。</w:t>
      </w:r>
      <w:r>
        <w:rPr>
          <w:rFonts w:hint="eastAsia" w:ascii="å¾®è½¯é›…é»‘" w:hAnsi="宋体" w:eastAsia="å¾®è½¯é›…é»‘" w:cs="宋体"/>
          <w:color w:val="auto"/>
          <w:kern w:val="0"/>
          <w:szCs w:val="21"/>
        </w:rPr>
        <w:t> </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（一）收入预算：</w:t>
      </w:r>
      <w:r>
        <w:rPr>
          <w:rFonts w:hint="eastAsia" w:ascii="仿宋" w:hAnsi="仿宋" w:eastAsia="仿宋" w:cs="仿宋"/>
          <w:bCs/>
          <w:color w:val="auto"/>
          <w:kern w:val="0"/>
          <w:sz w:val="32"/>
          <w:szCs w:val="32"/>
        </w:rPr>
        <w:t>包括一般公共预算、政府性基金、国有资本经营预算等财政拨款收入，以及经营收入、事业收入等单位资金。2021年本部门收入预算2089.86万元，其中，一般公共预算拨款2089.86万元，收入较去年减少95.85万元，</w:t>
      </w:r>
      <w:r>
        <w:rPr>
          <w:rFonts w:hint="eastAsia" w:ascii="仿宋" w:hAnsi="仿宋" w:eastAsia="仿宋" w:cs="仿宋"/>
          <w:bCs/>
          <w:color w:val="auto"/>
          <w:kern w:val="0"/>
          <w:sz w:val="32"/>
          <w:szCs w:val="32"/>
          <w:highlight w:val="none"/>
        </w:rPr>
        <w:t>降低4.39%</w:t>
      </w:r>
      <w:r>
        <w:rPr>
          <w:rFonts w:hint="eastAsia" w:ascii="仿宋" w:hAnsi="仿宋" w:eastAsia="仿宋" w:cs="仿宋"/>
          <w:bCs/>
          <w:color w:val="auto"/>
          <w:kern w:val="0"/>
          <w:sz w:val="32"/>
          <w:szCs w:val="32"/>
        </w:rPr>
        <w:t>，主要是因为紧预算，压减一般性支出。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（二）支出预算：</w:t>
      </w:r>
      <w:r>
        <w:rPr>
          <w:rFonts w:hint="eastAsia" w:ascii="仿宋" w:hAnsi="仿宋" w:eastAsia="仿宋" w:cs="仿宋"/>
          <w:bCs/>
          <w:color w:val="auto"/>
          <w:kern w:val="0"/>
          <w:sz w:val="32"/>
          <w:szCs w:val="32"/>
        </w:rPr>
        <w:t>2021年本部门支出预算2089.86万元，其中，一般公共服务1915.73万元，社会保障支出92.87万元，住房保障支出81.26万元。支出较去年减少95.85万元，</w:t>
      </w:r>
      <w:r>
        <w:rPr>
          <w:rFonts w:hint="eastAsia" w:ascii="仿宋" w:hAnsi="仿宋" w:eastAsia="仿宋" w:cs="仿宋"/>
          <w:bCs/>
          <w:color w:val="auto"/>
          <w:kern w:val="0"/>
          <w:sz w:val="32"/>
          <w:szCs w:val="32"/>
          <w:highlight w:val="none"/>
        </w:rPr>
        <w:t>降低4.39</w:t>
      </w:r>
      <w:r>
        <w:rPr>
          <w:rFonts w:ascii="仿宋" w:hAnsi="仿宋" w:eastAsia="仿宋" w:cs="仿宋"/>
          <w:bCs/>
          <w:color w:val="auto"/>
          <w:kern w:val="0"/>
          <w:sz w:val="32"/>
          <w:szCs w:val="32"/>
          <w:highlight w:val="none"/>
        </w:rPr>
        <w:t>%,</w:t>
      </w:r>
      <w:r>
        <w:rPr>
          <w:rFonts w:hint="eastAsia" w:ascii="仿宋" w:hAnsi="仿宋" w:eastAsia="仿宋" w:cs="仿宋"/>
          <w:bCs/>
          <w:color w:val="auto"/>
          <w:kern w:val="0"/>
          <w:sz w:val="32"/>
          <w:szCs w:val="32"/>
        </w:rPr>
        <w:t>主要是实行紧预算，压减一般性支出。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2021年本部门一般公共预算拨款支出预算2089.86万元，其中，一般公共服务支出1915.73万元，占91.67%；社会保障和就业支出92.87万元，占4.44%；住房保障支出81.26万元，占3.89%。具体安排情况如下： </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（一）基本支出：</w:t>
      </w:r>
      <w:r>
        <w:rPr>
          <w:rFonts w:hint="eastAsia" w:ascii="仿宋" w:hAnsi="仿宋" w:eastAsia="仿宋" w:cs="仿宋"/>
          <w:bCs/>
          <w:color w:val="auto"/>
          <w:kern w:val="0"/>
          <w:sz w:val="32"/>
          <w:szCs w:val="32"/>
        </w:rPr>
        <w:t>2021年本部门基本支出预算数1434.46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（二）项目支出：</w:t>
      </w:r>
      <w:r>
        <w:rPr>
          <w:rFonts w:hint="eastAsia" w:ascii="仿宋" w:hAnsi="仿宋" w:eastAsia="仿宋" w:cs="仿宋"/>
          <w:bCs/>
          <w:color w:val="auto"/>
          <w:kern w:val="0"/>
          <w:sz w:val="32"/>
          <w:szCs w:val="32"/>
        </w:rPr>
        <w:t>2021年本部门项目支出预算655.4万元，是指单位为完成特定行政工作任务或事业发展目标而发生的支出，包括有关事业发展专项、专项业务费、基本建设支出、等。其中：财政网络运营维护费支出60万元，主要用于全区财政业务各条线上网络运维的支出等；财政投资评审中心工作经费支出334.4万元，主要用于财政评审中心的专家人员经费和工作经费等方面；中介机构服务费100万元，用于财政局购买第三方中介机构的服务；三资工作专项经费73万元，用于盘活三资工作的经费开支；化债办工作经费50万元，用于我局牵头化解债务工作经费开支；财政统发工资中心工作经费10万元，用于财政统发工资中心部门的日常办公经费开支；财政事务中心工作经费18万元，用于财政事务中心日常办公经费开支；国库集中支付中心工作经费10万元，用于国库集中支付中心日常办公经费开支。</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62"/>
        <w:jc w:val="left"/>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2021年本部门政府性基金支出预算0万元。本部门无政府性基金安排的支出。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（一）机关运行经费：</w:t>
      </w:r>
      <w:r>
        <w:rPr>
          <w:rFonts w:hint="eastAsia" w:ascii="仿宋" w:hAnsi="仿宋" w:eastAsia="仿宋" w:cs="仿宋"/>
          <w:bCs/>
          <w:color w:val="auto"/>
          <w:kern w:val="0"/>
          <w:sz w:val="32"/>
          <w:szCs w:val="32"/>
        </w:rPr>
        <w:t>2021年局机关的机关运行经费当年一般公共预算拨款107.19万元，较上年预算减少4.4</w:t>
      </w:r>
      <w:r>
        <w:rPr>
          <w:rFonts w:ascii="仿宋" w:hAnsi="仿宋" w:eastAsia="仿宋" w:cs="仿宋"/>
          <w:bCs/>
          <w:color w:val="auto"/>
          <w:kern w:val="0"/>
          <w:sz w:val="32"/>
          <w:szCs w:val="32"/>
        </w:rPr>
        <w:t>7</w:t>
      </w:r>
      <w:r>
        <w:rPr>
          <w:rFonts w:hint="eastAsia" w:ascii="仿宋" w:hAnsi="仿宋" w:eastAsia="仿宋" w:cs="仿宋"/>
          <w:bCs/>
          <w:color w:val="auto"/>
          <w:kern w:val="0"/>
          <w:sz w:val="32"/>
          <w:szCs w:val="32"/>
        </w:rPr>
        <w:t>万元，下降</w:t>
      </w:r>
      <w:r>
        <w:rPr>
          <w:rFonts w:ascii="仿宋" w:hAnsi="仿宋" w:eastAsia="仿宋" w:cs="仿宋"/>
          <w:bCs/>
          <w:color w:val="auto"/>
          <w:kern w:val="0"/>
          <w:sz w:val="32"/>
          <w:szCs w:val="32"/>
        </w:rPr>
        <w:t>4</w:t>
      </w:r>
      <w:r>
        <w:rPr>
          <w:rFonts w:hint="eastAsia" w:ascii="仿宋" w:hAnsi="仿宋" w:eastAsia="仿宋" w:cs="仿宋"/>
          <w:bCs/>
          <w:color w:val="auto"/>
          <w:kern w:val="0"/>
          <w:sz w:val="32"/>
          <w:szCs w:val="32"/>
        </w:rPr>
        <w:t>%，主要是厉行节约。</w:t>
      </w:r>
    </w:p>
    <w:p>
      <w:pPr>
        <w:keepNext w:val="0"/>
        <w:keepLines w:val="0"/>
        <w:pageBreakBefore w:val="0"/>
        <w:widowControl/>
        <w:kinsoku/>
        <w:wordWrap/>
        <w:overflowPunct/>
        <w:topLinePunct w:val="0"/>
        <w:autoSpaceDE/>
        <w:autoSpaceDN/>
        <w:bidi w:val="0"/>
        <w:adjustRightInd/>
        <w:snapToGrid/>
        <w:spacing w:line="600" w:lineRule="exact"/>
        <w:ind w:firstLine="662"/>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（二）“三公”经费预算：</w:t>
      </w:r>
      <w:r>
        <w:rPr>
          <w:rFonts w:hint="eastAsia" w:ascii="仿宋" w:hAnsi="仿宋" w:eastAsia="仿宋" w:cs="仿宋"/>
          <w:bCs/>
          <w:color w:val="auto"/>
          <w:kern w:val="0"/>
          <w:sz w:val="32"/>
          <w:szCs w:val="32"/>
        </w:rPr>
        <w:t>2021年“三公”经费预算数为2万元，其中，公务接待费2万元</w:t>
      </w:r>
      <w:r>
        <w:rPr>
          <w:rFonts w:hint="eastAsia" w:ascii="仿宋" w:hAnsi="仿宋" w:eastAsia="仿宋" w:cs="仿宋"/>
          <w:bCs/>
          <w:color w:val="auto"/>
          <w:kern w:val="0"/>
          <w:sz w:val="32"/>
          <w:szCs w:val="32"/>
          <w:highlight w:val="none"/>
        </w:rPr>
        <w:t>,</w:t>
      </w:r>
      <w:r>
        <w:rPr>
          <w:rFonts w:hint="eastAsia" w:ascii="仿宋" w:hAnsi="仿宋" w:eastAsia="仿宋" w:cs="仿宋"/>
          <w:color w:val="auto"/>
          <w:sz w:val="32"/>
          <w:szCs w:val="32"/>
          <w:highlight w:val="none"/>
        </w:rPr>
        <w:t>公务用车购置及运行费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万元（其中，公务用车购置费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万元，公务用车运行费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万元），因公出国（境）费</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rPr>
        <w:t>。</w:t>
      </w:r>
      <w:r>
        <w:rPr>
          <w:rFonts w:hint="eastAsia" w:ascii="仿宋" w:hAnsi="仿宋" w:eastAsia="仿宋" w:cs="仿宋"/>
          <w:bCs/>
          <w:color w:val="auto"/>
          <w:kern w:val="0"/>
          <w:sz w:val="32"/>
          <w:szCs w:val="32"/>
        </w:rPr>
        <w:t>较2020年减少3.2万元，主要是事业单位公车改革取消了公车。</w:t>
      </w:r>
    </w:p>
    <w:p>
      <w:pPr>
        <w:keepNext w:val="0"/>
        <w:keepLines w:val="0"/>
        <w:pageBreakBefore w:val="0"/>
        <w:widowControl/>
        <w:kinsoku/>
        <w:wordWrap/>
        <w:overflowPunct/>
        <w:topLinePunct w:val="0"/>
        <w:autoSpaceDE/>
        <w:autoSpaceDN/>
        <w:bidi w:val="0"/>
        <w:adjustRightInd/>
        <w:snapToGrid/>
        <w:spacing w:line="600" w:lineRule="exact"/>
        <w:ind w:firstLine="662"/>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（三）一般性支出情况：</w:t>
      </w:r>
      <w:r>
        <w:rPr>
          <w:rFonts w:hint="eastAsia" w:ascii="仿宋" w:hAnsi="仿宋" w:eastAsia="仿宋" w:cs="仿宋"/>
          <w:bCs/>
          <w:color w:val="auto"/>
          <w:kern w:val="0"/>
          <w:sz w:val="32"/>
          <w:szCs w:val="32"/>
        </w:rPr>
        <w:t>2021年本部门会议费预算2万元，拟召开预算编制布置会议，人数100人，内容为预算编制；拟召开决算编制布置会议，人数100人，内容为决算编制；拟召开财务报告编制布置会议，人数100人，内容为财务报告编制。培训费预算2万元，拟开展预算编制培训，人数100人，内容为预算编制；拟开展决算编制培训，人数100人，内容为决算编制；拟开展财务报告编制培训，人数100人，内容为财务报告编制。</w:t>
      </w:r>
      <w:r>
        <w:rPr>
          <w:rFonts w:hint="eastAsia" w:ascii="仿宋" w:hAnsi="仿宋" w:eastAsia="仿宋" w:cs="仿宋"/>
          <w:bCs/>
          <w:color w:val="auto"/>
          <w:kern w:val="0"/>
          <w:sz w:val="32"/>
          <w:szCs w:val="32"/>
          <w:lang w:val="en-US" w:eastAsia="zh-CN"/>
        </w:rPr>
        <w:t>无</w:t>
      </w:r>
      <w:r>
        <w:rPr>
          <w:rFonts w:hint="eastAsia" w:ascii="仿宋" w:hAnsi="仿宋" w:eastAsia="仿宋" w:cs="仿宋"/>
          <w:color w:val="auto"/>
          <w:kern w:val="0"/>
          <w:sz w:val="32"/>
          <w:szCs w:val="32"/>
        </w:rPr>
        <w:t>节庆、晚会、论坛、赛事等活动</w:t>
      </w:r>
    </w:p>
    <w:p>
      <w:pPr>
        <w:keepNext w:val="0"/>
        <w:keepLines w:val="0"/>
        <w:pageBreakBefore w:val="0"/>
        <w:widowControl/>
        <w:kinsoku/>
        <w:wordWrap/>
        <w:overflowPunct/>
        <w:topLinePunct w:val="0"/>
        <w:autoSpaceDE/>
        <w:autoSpaceDN/>
        <w:bidi w:val="0"/>
        <w:adjustRightInd/>
        <w:snapToGrid/>
        <w:spacing w:line="600" w:lineRule="exact"/>
        <w:ind w:firstLine="662"/>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（四）政府采购情况：</w:t>
      </w:r>
      <w:r>
        <w:rPr>
          <w:rFonts w:hint="eastAsia" w:ascii="仿宋" w:hAnsi="仿宋" w:eastAsia="仿宋" w:cs="仿宋"/>
          <w:bCs/>
          <w:color w:val="auto"/>
          <w:kern w:val="0"/>
          <w:sz w:val="32"/>
          <w:szCs w:val="32"/>
        </w:rPr>
        <w:t>2021年本部门政府采购预算总额160万元，其中，货物类采购预算0万元；工程类采购预算0万元；服务类采购预算160万元。 </w:t>
      </w:r>
    </w:p>
    <w:p>
      <w:pPr>
        <w:keepNext w:val="0"/>
        <w:keepLines w:val="0"/>
        <w:pageBreakBefore w:val="0"/>
        <w:widowControl/>
        <w:kinsoku/>
        <w:wordWrap/>
        <w:overflowPunct/>
        <w:topLinePunct w:val="0"/>
        <w:autoSpaceDE/>
        <w:autoSpaceDN/>
        <w:bidi w:val="0"/>
        <w:adjustRightInd/>
        <w:snapToGrid/>
        <w:spacing w:line="600" w:lineRule="exact"/>
        <w:ind w:firstLine="662"/>
        <w:jc w:val="left"/>
        <w:textAlignment w:val="auto"/>
        <w:rPr>
          <w:rFonts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rPr>
        <w:t>（</w:t>
      </w:r>
      <w:r>
        <w:rPr>
          <w:rFonts w:hint="eastAsia" w:ascii="仿宋" w:hAnsi="仿宋" w:eastAsia="仿宋" w:cs="仿宋"/>
          <w:b/>
          <w:bCs/>
          <w:color w:val="auto"/>
          <w:kern w:val="0"/>
          <w:sz w:val="32"/>
          <w:szCs w:val="32"/>
        </w:rPr>
        <w:t>五）国有资产占用使用及新增资产配置情况：</w:t>
      </w:r>
      <w:r>
        <w:rPr>
          <w:rFonts w:hint="eastAsia" w:ascii="仿宋" w:hAnsi="仿宋" w:eastAsia="仿宋" w:cs="仿宋"/>
          <w:bCs/>
          <w:color w:val="auto"/>
          <w:kern w:val="0"/>
          <w:sz w:val="32"/>
          <w:szCs w:val="32"/>
          <w:highlight w:val="none"/>
        </w:rPr>
        <w:t>截至2020年12月底，本部门共有公务用车1辆，为一般公务用车，是当时调出本单位但未办理手续车辆。</w:t>
      </w:r>
      <w:r>
        <w:rPr>
          <w:rFonts w:hint="eastAsia" w:ascii="仿宋" w:hAnsi="仿宋" w:eastAsia="仿宋" w:cs="仿宋"/>
          <w:bCs/>
          <w:color w:val="auto"/>
          <w:kern w:val="0"/>
          <w:sz w:val="32"/>
          <w:szCs w:val="32"/>
          <w:highlight w:val="none"/>
        </w:rPr>
        <w:t>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Cs/>
          <w:color w:val="auto"/>
          <w:kern w:val="0"/>
          <w:sz w:val="32"/>
          <w:szCs w:val="32"/>
        </w:rPr>
      </w:pPr>
      <w:r>
        <w:rPr>
          <w:rFonts w:hint="eastAsia" w:ascii="仿宋" w:hAnsi="仿宋" w:eastAsia="仿宋" w:cs="仿宋"/>
          <w:b/>
          <w:bCs/>
          <w:color w:val="auto"/>
          <w:kern w:val="0"/>
          <w:sz w:val="32"/>
          <w:szCs w:val="32"/>
        </w:rPr>
        <w:t>（六）预算绩效目标说明：</w:t>
      </w:r>
      <w:r>
        <w:rPr>
          <w:rFonts w:hint="eastAsia" w:ascii="仿宋" w:hAnsi="仿宋" w:eastAsia="仿宋" w:cs="仿宋"/>
          <w:bCs/>
          <w:color w:val="auto"/>
          <w:kern w:val="0"/>
          <w:sz w:val="32"/>
          <w:szCs w:val="32"/>
        </w:rPr>
        <w:t>本部门所有支出实行绩效目标管理。纳入2021年部门整体支出绩效目标的金额为2089.86万元，其中，基本支出1434.46万元，项目支出655.4万元，具体绩效目标详见下表。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5、“三公”经费：纳入省（市/县）财政预算管理的“三公“经费，是指用一般公共预算拨款安排的公务接待费、公务用车购置及运行维护费和因</w:t>
      </w:r>
      <w:bookmarkStart w:id="0" w:name="_GoBack"/>
      <w:bookmarkEnd w:id="0"/>
      <w:r>
        <w:rPr>
          <w:rFonts w:hint="eastAsia" w:ascii="仿宋" w:hAnsi="仿宋" w:eastAsia="仿宋" w:cs="仿宋"/>
          <w:color w:val="auto"/>
          <w:sz w:val="32"/>
          <w:szCs w:val="32"/>
        </w:rPr>
        <w:t>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p>
    <w:p>
      <w:pPr>
        <w:pStyle w:val="5"/>
        <w:shd w:val="clear" w:color="auto" w:fill="FFFFFF"/>
        <w:spacing w:before="0" w:beforeAutospacing="0" w:after="0" w:afterAutospacing="0" w:line="540" w:lineRule="atLeast"/>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2MDQ0Y2JmNDZjOWZjMDVhZmYxZGEyOWZhNDY0M2YifQ=="/>
  </w:docVars>
  <w:rsids>
    <w:rsidRoot w:val="001668EC"/>
    <w:rsid w:val="001668EC"/>
    <w:rsid w:val="0029515C"/>
    <w:rsid w:val="00317697"/>
    <w:rsid w:val="00687DC7"/>
    <w:rsid w:val="00B3175C"/>
    <w:rsid w:val="00DA39BB"/>
    <w:rsid w:val="00DE04A3"/>
    <w:rsid w:val="00DE05FE"/>
    <w:rsid w:val="00EC13F7"/>
    <w:rsid w:val="00EF6740"/>
    <w:rsid w:val="08C343BC"/>
    <w:rsid w:val="0A354CC5"/>
    <w:rsid w:val="34911F57"/>
    <w:rsid w:val="4D751487"/>
    <w:rsid w:val="4E6B2E7A"/>
    <w:rsid w:val="71A93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qFormat/>
    <w:uiPriority w:val="9"/>
    <w:rPr>
      <w:rFonts w:ascii="宋体" w:hAnsi="宋体" w:eastAsia="宋体" w:cs="宋体"/>
      <w:b/>
      <w:bCs/>
      <w:kern w:val="0"/>
      <w:sz w:val="27"/>
      <w:szCs w:val="27"/>
    </w:rPr>
  </w:style>
  <w:style w:type="character" w:customStyle="1" w:styleId="10">
    <w:name w:val="kf_sj"/>
    <w:basedOn w:val="7"/>
    <w:qFormat/>
    <w:uiPriority w:val="0"/>
  </w:style>
  <w:style w:type="character" w:customStyle="1" w:styleId="11">
    <w:name w:val="kf_ly"/>
    <w:basedOn w:val="7"/>
    <w:qFormat/>
    <w:uiPriority w:val="0"/>
  </w:style>
  <w:style w:type="paragraph" w:customStyle="1" w:styleId="12">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页眉 Char"/>
    <w:basedOn w:val="7"/>
    <w:link w:val="4"/>
    <w:qFormat/>
    <w:uiPriority w:val="99"/>
    <w:rPr>
      <w:sz w:val="18"/>
      <w:szCs w:val="18"/>
    </w:rPr>
  </w:style>
  <w:style w:type="character" w:customStyle="1" w:styleId="14">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3446</Words>
  <Characters>3677</Characters>
  <Lines>25</Lines>
  <Paragraphs>7</Paragraphs>
  <TotalTime>5</TotalTime>
  <ScaleCrop>false</ScaleCrop>
  <LinksUpToDate>false</LinksUpToDate>
  <CharactersWithSpaces>3690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2022-06-28T12:40:00Z</dcterms:created>
  <dc:creator>Administrator</dc:creator>
  <cp:lastModifiedBy>Administrator</cp:lastModifiedBy>
  <dcterms:modified xsi:type="dcterms:W3CDTF">2022-08-19T02:57:26Z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D0F4763BEE3E4427BD603A82211C2CD4</vt:lpwstr>
  </property>
</Properties>
</file>