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  <w:t>2022年度重点项目绩效自评报告</w:t>
      </w:r>
    </w:p>
    <w:p>
      <w:pPr>
        <w:spacing w:line="560" w:lineRule="exact"/>
        <w:outlineLvl w:val="0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项目支出</w:t>
      </w:r>
      <w:r>
        <w:rPr>
          <w:rFonts w:ascii="Times New Roman" w:hAnsi="Times New Roman" w:eastAsia="黑体" w:cs="Times New Roman"/>
          <w:sz w:val="32"/>
          <w:szCs w:val="32"/>
        </w:rPr>
        <w:t>基本情况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Cs/>
          <w:sz w:val="32"/>
          <w:szCs w:val="32"/>
        </w:rPr>
        <w:t>项目支出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资金概况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年我单位项目支出预算共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192.2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万元，包含项目15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个，实际支出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21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658.93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万元（业务工作经费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149.13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万元、专项经费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21509.8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万元、政府专项经费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0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万元），涵盖项目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15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个。具体情况如下：</w:t>
      </w:r>
    </w:p>
    <w:p>
      <w:pPr>
        <w:spacing w:line="660" w:lineRule="exact"/>
        <w:ind w:firstLine="48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金额单位：万元</w:t>
      </w:r>
    </w:p>
    <w:tbl>
      <w:tblPr>
        <w:tblStyle w:val="5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024"/>
        <w:gridCol w:w="3438"/>
        <w:gridCol w:w="1004"/>
        <w:gridCol w:w="1004"/>
        <w:gridCol w:w="1069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9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项目名称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项目类型</w:t>
            </w:r>
          </w:p>
        </w:tc>
        <w:tc>
          <w:tcPr>
            <w:tcW w:w="343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资金用途、使用方向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预算金额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3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指标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总额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其中：区级资金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支出总额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其中：区级资金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9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业务工作经费</w:t>
            </w:r>
          </w:p>
        </w:tc>
        <w:tc>
          <w:tcPr>
            <w:tcW w:w="102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业务工作经费</w:t>
            </w:r>
          </w:p>
        </w:tc>
        <w:tc>
          <w:tcPr>
            <w:tcW w:w="343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退役军人保障体系运转工作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89.25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89.25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149.13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149.13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运行维护经费</w:t>
            </w:r>
          </w:p>
        </w:tc>
        <w:tc>
          <w:tcPr>
            <w:tcW w:w="102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343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办公楼运行维护经费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60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60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46.63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46.63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困难企业军转干部公益性岗位补助资金</w:t>
            </w:r>
          </w:p>
        </w:tc>
        <w:tc>
          <w:tcPr>
            <w:tcW w:w="102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343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困难企业军转干部公益性岗位补助资金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27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27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22.34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困难企业军转退休干部及退役士兵困难补助</w:t>
            </w:r>
          </w:p>
        </w:tc>
        <w:tc>
          <w:tcPr>
            <w:tcW w:w="102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343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困难企业军转退休干部及退役士兵困难补助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12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12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信访工作人员岗位津贴</w:t>
            </w:r>
          </w:p>
        </w:tc>
        <w:tc>
          <w:tcPr>
            <w:tcW w:w="1024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34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信访工作人员岗位津贴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3.95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3.95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2.61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春节慰问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343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开福区退役军人春节慰问工作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96.15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96.15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义务兵家庭优待金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343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开福区义务兵优待金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2813.94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1055.25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伤残抚恤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343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开福区退役军人优抚对象伤残抚恤金、临时价格补贴和优抚补助金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4428.9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其他优抚支出经费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343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开福区退役军人优抚对象伤残抚恤金、临时价格补贴和优抚补助金以及困难援助等 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261.16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118.91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退役士兵安置经费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343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退役士兵安置工作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238.11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82.75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军队移交政府离退休人员安置经费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343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军队无军籍退休退职职工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工资及津补贴等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12835.98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6141.87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军队移交政府离退休干部管理机构经费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343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军队移交政府离退休干部管理工作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363.2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144.13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军队转业干部安置经费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343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军队转业干部安置工作等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220.86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其他退役军人事务管理支出经费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343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开福区退役军人各项事务支出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103.6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优抚对象医疗补助支出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专项经费</w:t>
            </w:r>
          </w:p>
        </w:tc>
        <w:tc>
          <w:tcPr>
            <w:tcW w:w="3438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开福区退役军人优抚对象医疗补助金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76.32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561" w:type="dxa"/>
            <w:gridSpan w:val="3"/>
            <w:vAlign w:val="center"/>
          </w:tcPr>
          <w:p>
            <w:pPr>
              <w:tabs>
                <w:tab w:val="left" w:pos="2243"/>
              </w:tabs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ab/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合计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192.2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192.2</w:t>
            </w:r>
          </w:p>
        </w:tc>
        <w:tc>
          <w:tcPr>
            <w:tcW w:w="10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21658.93</w:t>
            </w:r>
          </w:p>
        </w:tc>
        <w:tc>
          <w:tcPr>
            <w:tcW w:w="93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9881.74</w:t>
            </w:r>
          </w:p>
        </w:tc>
      </w:tr>
    </w:tbl>
    <w:p>
      <w:pPr>
        <w:spacing w:line="560" w:lineRule="exact"/>
        <w:ind w:left="640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</w:rPr>
        <w:t>（二）项目绩效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目标</w:t>
      </w:r>
      <w:r>
        <w:rPr>
          <w:rFonts w:hint="eastAsia" w:ascii="Times New Roman" w:hAnsi="Times New Roman" w:eastAsia="楷体_GB2312" w:cs="Times New Roman"/>
          <w:bCs/>
          <w:sz w:val="32"/>
          <w:szCs w:val="32"/>
        </w:rPr>
        <w:t>情况</w:t>
      </w:r>
    </w:p>
    <w:p>
      <w:pPr>
        <w:ind w:firstLine="643" w:firstLineChars="200"/>
        <w:rPr>
          <w:rFonts w:hint="eastAsia" w:ascii="方正小标宋简体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方正小标宋简体" w:hAnsi="Times New Roman" w:eastAsia="仿宋_GB2312" w:cs="Times New Roman"/>
          <w:b/>
          <w:bCs/>
          <w:sz w:val="32"/>
          <w:szCs w:val="32"/>
        </w:rPr>
        <w:t>部门产出指标: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1.每月按时发放全区1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名军休干部、96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sz w:val="32"/>
          <w:szCs w:val="32"/>
        </w:rPr>
        <w:t>名无军籍职工工资及津补贴，落实军休人员和无军籍职工工会物资，年底按时将奖金发放到位，共计12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835.98</w:t>
      </w:r>
      <w:r>
        <w:rPr>
          <w:rFonts w:hint="eastAsia" w:ascii="仿宋_GB2312" w:hAnsi="仿宋" w:eastAsia="仿宋_GB2312" w:cs="Times New Roman"/>
          <w:sz w:val="32"/>
          <w:szCs w:val="32"/>
        </w:rPr>
        <w:t>万元。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.发放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发放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540名对象的伤残军人、伤残公务员、伤残人民警察抚恤金，1280名其他优抚对象抚恤金</w:t>
      </w:r>
      <w:r>
        <w:rPr>
          <w:rFonts w:hint="eastAsia" w:ascii="仿宋_GB2312" w:hAnsi="仿宋" w:eastAsia="仿宋_GB2312" w:cs="Times New Roman"/>
          <w:sz w:val="32"/>
          <w:szCs w:val="32"/>
        </w:rPr>
        <w:t>。共计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4428.9</w:t>
      </w:r>
      <w:r>
        <w:rPr>
          <w:rFonts w:hint="eastAsia" w:ascii="仿宋_GB2312" w:hAnsi="仿宋" w:eastAsia="仿宋_GB2312" w:cs="Times New Roman"/>
          <w:sz w:val="32"/>
          <w:szCs w:val="32"/>
        </w:rPr>
        <w:t>万元。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sz w:val="32"/>
          <w:szCs w:val="32"/>
        </w:rPr>
        <w:t>.发放202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sz w:val="32"/>
          <w:szCs w:val="32"/>
        </w:rPr>
        <w:t>年秋季、冬季退役士兵一次性地方补助、202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年秋季退役士兵一次性地方补助、202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sz w:val="32"/>
          <w:szCs w:val="32"/>
        </w:rPr>
        <w:t>年开福区秋季入伍家庭优待金、大学生奖励金、大学生差旅费、进疆进藏补助金、202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年开福区接收转业士官待安置期间购买社保、医保开支。共计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2813.94</w:t>
      </w:r>
      <w:r>
        <w:rPr>
          <w:rFonts w:hint="eastAsia" w:ascii="仿宋_GB2312" w:hAnsi="仿宋" w:eastAsia="仿宋_GB2312" w:cs="Times New Roman"/>
          <w:sz w:val="32"/>
          <w:szCs w:val="32"/>
        </w:rPr>
        <w:t>万元。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Times New Roman"/>
          <w:sz w:val="32"/>
          <w:szCs w:val="32"/>
        </w:rPr>
        <w:t>.发放春节慰问费以及八一慰问费96.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Times New Roman"/>
          <w:sz w:val="32"/>
          <w:szCs w:val="32"/>
        </w:rPr>
        <w:t>万元。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sz w:val="32"/>
          <w:szCs w:val="32"/>
        </w:rPr>
        <w:t>.发放优抚对象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医疗救助金</w:t>
      </w:r>
      <w:r>
        <w:rPr>
          <w:rFonts w:hint="eastAsia" w:ascii="仿宋_GB2312" w:hAnsi="仿宋" w:eastAsia="仿宋_GB2312" w:cs="Times New Roman"/>
          <w:sz w:val="32"/>
          <w:szCs w:val="32"/>
        </w:rPr>
        <w:t>，共计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76.32</w:t>
      </w:r>
      <w:r>
        <w:rPr>
          <w:rFonts w:hint="eastAsia" w:ascii="仿宋_GB2312" w:hAnsi="仿宋" w:eastAsia="仿宋_GB2312" w:cs="Times New Roman"/>
          <w:sz w:val="32"/>
          <w:szCs w:val="32"/>
        </w:rPr>
        <w:t>万元。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Times New Roman"/>
          <w:sz w:val="32"/>
          <w:szCs w:val="32"/>
        </w:rPr>
        <w:t>.做好宣传工作，印发优惠措施宣传手册等,加大就业创业扶持力度，完善多层次、多样化的教育培训体系，与普通高校、职业院校等教育资源加强衔接，拓宽就业渠道，搭建就业平台，组织退役军人、随军家属的专场招聘会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部门效益指标：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1.按政策解决困难公益性军转干部需求，提高他们的生活质量；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2.对困难退役军人及时进行帮扶援助；为全区企业退休军转干部和退役士兵解困；发放双待双促经费，带动全区退役军人先进单位和个人发展；按政策落实并按时发放无军籍职工工资及补贴，保障无军籍职工生活,提升幸福感；解决我区重点优抚对象医疗待遇，解决优抚对象生活待遇，让优抚对象100%满意；解决退役军人再就业上岗问题，服务满意度100%；保障退役士兵政策享受到位；依照政策慰问退役军人及其他优抚对象； 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3.做好军转干部、复员干部、退役士兵、伤病残人员移交安置工作。做好202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军转干部及随军随调家属安置工作，加强自主择业军转干部管理工作，建立健全军转干部管理服务工作体系，优化各项服务，保障军转干部权益。做好2021年符合政府安排工作条件退役士兵接收安置工作，巩固提升安置质量，落实退役士兵服役表现量化评分，大力推进“阳光安置”。按政策做好部分退役士兵的社保参保补缴工作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4.按政策落实军休干部（士官）、无军籍退休退职职工各项待遇，创新和优化军休服务管理模式，积极适应社会化服务发展方向，走近军休人员、聆听军休人员、服务军休人员，满足其多元化需求。更新购买服务内容和标准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资金使用管理情况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各项专项资金拨付及时率100%，按政策足额发放率100%。同时本单位制定了财务管理制度,健全了专项经费管理制度，各项制度落实到人到事；确保资金使用合规、资金按程序、按预算拨付使用；基础数据信息和会计资料真实、完整、准确；无挤占、挪用专项资金情况,做到了资金专款专用；项目申报、评审、立项、监督管理、验收等各个阶段组织实施规范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绩效评价工作情况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绩效自评工作由本单位综合办公室牵头，局其他科室参与协调配合，根据年初申报的预算绩效评价与202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年决算情况，按时高效完成本单位绩效自评工作。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项目支出</w:t>
      </w:r>
      <w:r>
        <w:rPr>
          <w:rFonts w:ascii="Times New Roman" w:hAnsi="Times New Roman" w:eastAsia="黑体" w:cs="Times New Roman"/>
          <w:sz w:val="32"/>
          <w:szCs w:val="32"/>
        </w:rPr>
        <w:t>主要绩效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1. </w:t>
      </w:r>
      <w:r>
        <w:rPr>
          <w:rFonts w:hint="eastAsia" w:ascii="仿宋_GB2312" w:hAnsi="仿宋" w:eastAsia="仿宋_GB2312" w:cs="Times New Roman"/>
          <w:sz w:val="32"/>
          <w:szCs w:val="32"/>
        </w:rPr>
        <w:t>春节慰问金以及八一慰问金支出96.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Times New Roman"/>
          <w:sz w:val="32"/>
          <w:szCs w:val="32"/>
        </w:rPr>
        <w:t>万元：202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年区直单位春节走访慰问部分重点优抚对象，在春节之前将慰问费按政策发放到位，退役军人及其他优抚对象满意度达到100%。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. 义务兵优待金支出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2813.94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万元：向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286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名202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年开福区秋季入伍义务兵发放家庭优待金、大学生差旅费及进疆进藏补助金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144名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年开福区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春季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入伍义务兵发放家庭优待金共计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2813.94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万元</w:t>
      </w:r>
      <w:r>
        <w:rPr>
          <w:rFonts w:hint="eastAsia" w:ascii="仿宋_GB2312" w:hAnsi="仿宋" w:eastAsia="仿宋_GB2312" w:cs="Times New Roman"/>
          <w:sz w:val="32"/>
          <w:szCs w:val="32"/>
        </w:rPr>
        <w:t>，按政策要求标准在年底足额发放到位，提高义务兵的相关保障，服务对象满意度达到100%。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sz w:val="32"/>
          <w:szCs w:val="32"/>
        </w:rPr>
        <w:t>. 伤残抚恤金及其他优抚支出项目共计支出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4690.06</w:t>
      </w:r>
      <w:r>
        <w:rPr>
          <w:rFonts w:hint="eastAsia" w:ascii="仿宋_GB2312" w:hAnsi="仿宋" w:eastAsia="仿宋_GB2312" w:cs="Times New Roman"/>
          <w:sz w:val="32"/>
          <w:szCs w:val="32"/>
        </w:rPr>
        <w:t>万元：向全区12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80</w:t>
      </w:r>
      <w:r>
        <w:rPr>
          <w:rFonts w:hint="eastAsia" w:ascii="仿宋_GB2312" w:hAnsi="仿宋" w:eastAsia="仿宋_GB2312" w:cs="Times New Roman"/>
          <w:sz w:val="32"/>
          <w:szCs w:val="32"/>
        </w:rPr>
        <w:t>名优抚对象发放伤残抚恤金、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优抚对象病故军人抚恤金、临时价格补贴和优抚补助金以及困难援助金等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4690.06</w:t>
      </w:r>
      <w:r>
        <w:rPr>
          <w:rFonts w:hint="eastAsia" w:ascii="仿宋_GB2312" w:hAnsi="仿宋" w:eastAsia="仿宋_GB2312" w:cs="Times New Roman"/>
          <w:sz w:val="32"/>
          <w:szCs w:val="32"/>
        </w:rPr>
        <w:t>万元，按时发放伤残抚恤金和优抚补助金等，使优抚对象等人员的基本生活得到有效保障，服务对象满意度达到100%。真正为全区需要解困的退役军人办实事，进行救助，提高他们的生活质量，救助对象满意度达到100%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Times New Roman"/>
          <w:sz w:val="32"/>
          <w:szCs w:val="32"/>
        </w:rPr>
        <w:t>. 退役士兵安置经费支出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238.11</w:t>
      </w:r>
      <w:r>
        <w:rPr>
          <w:rFonts w:hint="eastAsia" w:ascii="仿宋_GB2312" w:hAnsi="仿宋" w:eastAsia="仿宋_GB2312" w:cs="Times New Roman"/>
          <w:sz w:val="32"/>
          <w:szCs w:val="32"/>
        </w:rPr>
        <w:t>万元：向11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Times New Roman"/>
          <w:sz w:val="32"/>
          <w:szCs w:val="32"/>
        </w:rPr>
        <w:t>名退役士兵发放202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年秋、冬季退役军人一次性地方补助资金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以及</w:t>
      </w:r>
      <w:r>
        <w:rPr>
          <w:rFonts w:hint="eastAsia" w:ascii="仿宋_GB2312" w:hAnsi="仿宋" w:eastAsia="仿宋_GB2312" w:cs="Times New Roman"/>
          <w:sz w:val="32"/>
          <w:szCs w:val="32"/>
        </w:rPr>
        <w:t>向转业士官发放待安置期间生活补助和保险资金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238.11</w:t>
      </w:r>
      <w:r>
        <w:rPr>
          <w:rFonts w:hint="eastAsia" w:ascii="仿宋_GB2312" w:hAnsi="仿宋" w:eastAsia="仿宋_GB2312" w:cs="Times New Roman"/>
          <w:sz w:val="32"/>
          <w:szCs w:val="32"/>
        </w:rPr>
        <w:t>万元，按政策要求标准时间足额发放到位，保障202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年秋、冬季退役士兵政策享受到位，解决202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年开福区接收转业士官待安置期间生活及保险问题，服务对象满意度达到100%。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sz w:val="32"/>
          <w:szCs w:val="32"/>
        </w:rPr>
        <w:t>. 军队移交政府的离退休人员安置经费支出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12835.98</w:t>
      </w:r>
      <w:r>
        <w:rPr>
          <w:rFonts w:hint="eastAsia" w:ascii="仿宋_GB2312" w:hAnsi="仿宋" w:eastAsia="仿宋_GB2312" w:cs="Times New Roman"/>
          <w:sz w:val="32"/>
          <w:szCs w:val="32"/>
        </w:rPr>
        <w:t>万元：向全区1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名军休干部、96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sz w:val="32"/>
          <w:szCs w:val="32"/>
        </w:rPr>
        <w:t>名无军籍职工发放工资、各类津补贴及工会福利共计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12835.98</w:t>
      </w:r>
      <w:r>
        <w:rPr>
          <w:rFonts w:hint="eastAsia" w:ascii="仿宋_GB2312" w:hAnsi="仿宋" w:eastAsia="仿宋_GB2312" w:cs="Times New Roman"/>
          <w:sz w:val="32"/>
          <w:szCs w:val="32"/>
        </w:rPr>
        <w:t>万元。按政策落实军休干部、无军籍退休退职职工各项待遇，服务对象满意度达到100%。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Times New Roman"/>
          <w:sz w:val="32"/>
          <w:szCs w:val="32"/>
        </w:rPr>
        <w:t>. 军队移交政府离退休干部管理机构经费支出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363.2</w:t>
      </w:r>
      <w:r>
        <w:rPr>
          <w:rFonts w:hint="eastAsia" w:ascii="仿宋_GB2312" w:hAnsi="仿宋" w:eastAsia="仿宋_GB2312" w:cs="Times New Roman"/>
          <w:sz w:val="32"/>
          <w:szCs w:val="32"/>
        </w:rPr>
        <w:t>万元：创新和优化军休服务管理模式，积极适应社会化服务发展方向，走近军休人员、聆听军休人员、服务军休人员，满足其多元化需求，更新购买服务内容和标准，服务对象满意度达到100%。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Times New Roman"/>
          <w:sz w:val="32"/>
          <w:szCs w:val="32"/>
        </w:rPr>
        <w:t>. 优抚对象医疗补助支出支出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76.32</w:t>
      </w:r>
      <w:r>
        <w:rPr>
          <w:rFonts w:hint="eastAsia" w:ascii="仿宋_GB2312" w:hAnsi="仿宋" w:eastAsia="仿宋_GB2312" w:cs="Times New Roman"/>
          <w:sz w:val="32"/>
          <w:szCs w:val="32"/>
        </w:rPr>
        <w:t>万元：向4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60</w:t>
      </w:r>
      <w:r>
        <w:rPr>
          <w:rFonts w:hint="eastAsia" w:ascii="仿宋_GB2312" w:hAnsi="仿宋" w:eastAsia="仿宋_GB2312" w:cs="Times New Roman"/>
          <w:sz w:val="32"/>
          <w:szCs w:val="32"/>
        </w:rPr>
        <w:t>名提交了救助申请的优抚对象发放医疗补助金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76.32</w:t>
      </w:r>
      <w:r>
        <w:rPr>
          <w:rFonts w:hint="eastAsia" w:ascii="仿宋_GB2312" w:hAnsi="仿宋" w:eastAsia="仿宋_GB2312" w:cs="Times New Roman"/>
          <w:sz w:val="32"/>
          <w:szCs w:val="32"/>
        </w:rPr>
        <w:t>万元，每月15日之前将个人门诊补助，住院补助，住院救助费用按政策发放到位，按政策解决了我区重点优抚对象医疗待遇，优抚对象满意度达到100%。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四、存在的问题</w:t>
      </w:r>
    </w:p>
    <w:p>
      <w:pPr>
        <w:spacing w:line="600" w:lineRule="exact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1.运行维护经费执行率偏低，主要原因在于年底资金支付量大，财政支付压力大，导致部分票据年后才支付成功，今后要注意票据时间，避免堆积。</w:t>
      </w:r>
    </w:p>
    <w:p>
      <w:pPr>
        <w:spacing w:line="600" w:lineRule="exact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2.部分服务对象满意度不高，主要原因在于对于我们的政策还不够了解，对于奖金发放要求逐月发放，但参照其余区县均为一次性发放，因此无法满足对象要求。</w:t>
      </w:r>
    </w:p>
    <w:p>
      <w:pPr>
        <w:spacing w:line="600" w:lineRule="exact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3.部分资金发放不及时，主要原因在于部分对象账号有误，或者账户为二类账户，无法一次性发放成功。</w:t>
      </w:r>
    </w:p>
    <w:p>
      <w:pPr>
        <w:spacing w:line="600" w:lineRule="exact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4.补充医疗保险报销率不高，主要原因在于部分对象自行购买了医疗保险，后续需要了解服务对象需求，购买更加适合该类对象的保险。</w:t>
      </w:r>
    </w:p>
    <w:p>
      <w:pPr>
        <w:spacing w:line="600" w:lineRule="exact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5.志愿者活动开展次数不够，主要原因在于受疫情影响，以及经费限制，活动开展次数有所减少。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6.信访津贴执行率较低，主要原因在于预算编制时将事业编人员纳入发放范围，实际按照文件要求仅能发放行政编制人员。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五、有关建议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六、其他需要说明的问题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无</w:t>
      </w:r>
    </w:p>
    <w:p>
      <w:r>
        <w:rPr>
          <w:rFonts w:hint="eastAsia" w:ascii="仿宋_GB2312" w:hAnsi="Times New Roman" w:eastAsia="仿宋_GB2312" w:cs="Times New Roman"/>
          <w:color w:val="000000"/>
          <w:sz w:val="28"/>
          <w:szCs w:val="2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206AD"/>
    <w:multiLevelType w:val="multilevel"/>
    <w:tmpl w:val="318206A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9AC1E24"/>
    <w:multiLevelType w:val="multilevel"/>
    <w:tmpl w:val="79AC1E24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jNzQ0NmNmZDM4NWVlZDMyYmE4YTgwOTYyY2ViZWIifQ=="/>
  </w:docVars>
  <w:rsids>
    <w:rsidRoot w:val="1CB23536"/>
    <w:rsid w:val="1CB23536"/>
    <w:rsid w:val="2E83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2984</Words>
  <Characters>3387</Characters>
  <Lines>0</Lines>
  <Paragraphs>0</Paragraphs>
  <TotalTime>1</TotalTime>
  <ScaleCrop>false</ScaleCrop>
  <LinksUpToDate>false</LinksUpToDate>
  <CharactersWithSpaces>3406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2023-10-08T06:50:00Z</dcterms:created>
  <dc:creator>池池池</dc:creator>
  <cp:lastModifiedBy>小婷婷</cp:lastModifiedBy>
  <dcterms:modified xsi:type="dcterms:W3CDTF">2023-10-26T03:11:29Z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F9B9A31BC58E4768AA599F50D17B65E5</vt:lpwstr>
  </property>
</Properties>
</file>