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4"/>
          <w:lang w:eastAsia="zh-CN"/>
        </w:rPr>
        <w:t>重点项目绩效自评报告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专项1：核酸检测费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，共支出2863万元，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其中区级资金1145万元，上级资金1718万元，按文件要求悉数上解至长沙市财政局财政性资金专户。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专项2：城乡居民基本医疗保险补助82万元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按文件要求悉数上解至长沙市财政局财政性资金专户。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专项3：特困企业退休职工基本医疗保险补助135万元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按文件要求悉数上解至长沙市财政局财政性资金专户。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专项经费4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公费医疗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，全年预算支出500万元。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离休干部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11人，1-6级伤残军人24人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劳动模范2人，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机关干部子女人数1001人。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专项经费5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医疗救助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（含特困家庭医疗救助、精神病药物救助和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核工业特殊困难群体医疗救助1万元，健康扶贫一站式救助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），全年支出792万元（此专项共计支出815万元，另23万元为政府性基金）。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①特困家庭和精神病住院医疗救助673万元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(另有23万元为政府性基金)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，区级资金300万元，上级资金373万元（上级资金共396万元，其中其中23万元为政府性基金）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②精神病药物救助68万元，区级资金35万元，上级资金33万元。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③健康扶贫“一站式”结算财政兜底资金50万元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④</w:t>
      </w:r>
      <w:r>
        <w:rPr>
          <w:rFonts w:hint="eastAsia" w:ascii="Times New Roman" w:hAnsi="Times New Roman" w:eastAsia="仿宋_GB2312" w:cs="仿宋_GB2312"/>
          <w:b w:val="0"/>
          <w:bCs/>
          <w:spacing w:val="6"/>
          <w:sz w:val="32"/>
          <w:szCs w:val="32"/>
          <w:lang w:val="en-US" w:eastAsia="zh-CN"/>
        </w:rPr>
        <w:t>核工业特殊困难群体医疗救助1万元</w:t>
      </w:r>
      <w:r>
        <w:rPr>
          <w:rFonts w:hint="eastAsia" w:ascii="Times New Roman" w:hAnsi="Times New Roman" w:eastAsia="仿宋_GB2312" w:cs="仿宋_GB2312"/>
          <w:spacing w:val="6"/>
          <w:sz w:val="32"/>
          <w:szCs w:val="32"/>
          <w:lang w:val="en-US" w:eastAsia="zh-CN"/>
        </w:rPr>
        <w:t>，按要求和规定使用。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专项经费6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110万元，区级办公专项55万元，区级24万元村党组专项，中央下拨医保服务提升资金30万元，其他1万元。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pStyle w:val="2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44"/>
        <w:gridCol w:w="1087"/>
        <w:gridCol w:w="1030"/>
        <w:gridCol w:w="939"/>
        <w:gridCol w:w="1061"/>
        <w:gridCol w:w="773"/>
        <w:gridCol w:w="126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3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核酸检测费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（上解资金，无绩效评价指标）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分值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执行率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2863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2863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2863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2863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注：以“定量”完成情况为主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kern w:val="0"/>
          <w:sz w:val="22"/>
        </w:rPr>
        <w:t>说明：</w:t>
      </w:r>
      <w:r>
        <w:rPr>
          <w:rFonts w:hint="eastAsia" w:ascii="Times New Roman" w:hAnsi="Times New Roman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28"/>
        <w:gridCol w:w="1040"/>
        <w:gridCol w:w="1145"/>
        <w:gridCol w:w="1040"/>
        <w:gridCol w:w="1082"/>
        <w:gridCol w:w="562"/>
        <w:gridCol w:w="128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4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城乡居民基本医疗保险补助（上解资金，无绩效评价指标）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执行数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分值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注：以“定量”完成情况为主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 w:eastAsia="仿宋_GB2312"/>
          <w:kern w:val="0"/>
          <w:sz w:val="22"/>
        </w:rPr>
      </w:pPr>
      <w:r>
        <w:rPr>
          <w:rFonts w:ascii="Times New Roman" w:hAnsi="Times New Roman" w:eastAsia="仿宋_GB2312"/>
          <w:kern w:val="0"/>
          <w:sz w:val="22"/>
        </w:rPr>
        <w:t>说明：</w:t>
      </w:r>
      <w:r>
        <w:rPr>
          <w:rFonts w:hint="eastAsia" w:ascii="Times New Roman" w:hAnsi="Times New Roman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49"/>
        <w:gridCol w:w="1035"/>
        <w:gridCol w:w="950"/>
        <w:gridCol w:w="941"/>
        <w:gridCol w:w="1070"/>
        <w:gridCol w:w="683"/>
        <w:gridCol w:w="146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w w:val="96"/>
                <w:kern w:val="0"/>
                <w:sz w:val="32"/>
                <w:szCs w:val="32"/>
                <w:lang w:eastAsia="zh-CN"/>
              </w:rPr>
              <w:t>特困企业退休职工基本医疗保险（上解资金，无绩效评价指标）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注：以“定量”完成情况为主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kern w:val="0"/>
          <w:sz w:val="22"/>
        </w:rPr>
        <w:t>说明：</w:t>
      </w:r>
      <w:r>
        <w:rPr>
          <w:rFonts w:hint="eastAsia" w:ascii="Times New Roman" w:hAnsi="Times New Roman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845"/>
        <w:gridCol w:w="1337"/>
        <w:gridCol w:w="2173"/>
        <w:gridCol w:w="840"/>
        <w:gridCol w:w="990"/>
        <w:gridCol w:w="550"/>
        <w:gridCol w:w="66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4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公费医疗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5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医保局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医药保障科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执行数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分值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执行率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95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0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00" w:firstLineChars="3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预期目标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实际完成情况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注：以“定量”目标为主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2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注：以“定量”完成情况为主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(50分)</w:t>
            </w: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保障离休干部人员医疗待遇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人员自然死亡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1-6级伤残军人医疗待遇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人员自然死亡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保障劳模人员医疗待遇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保障机关子女每人住院门诊待遇各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2000元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按政策超龄不享受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对应享受医疗费用报销政策的人员保障待遇落实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年度内对本年度发生的费用按政策报销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保障离休干部人员医疗待遇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1-6级伤残军人医疗待遇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保障劳模人员医疗待遇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保障机关子女每人住院门诊待遇各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2000元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9.6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将公费医疗政策落到实处，为享受公费医疗待遇群体解决了医疗费后顾之忧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服务对象满意率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1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97.6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5）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85"/>
        <w:gridCol w:w="806"/>
        <w:gridCol w:w="2140"/>
        <w:gridCol w:w="791"/>
        <w:gridCol w:w="909"/>
        <w:gridCol w:w="591"/>
        <w:gridCol w:w="85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5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医疗救助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区医保局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医药保障科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执行数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分值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执行率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400（区级）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961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547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%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 w:firstLine="630" w:firstLineChars="3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注：以“定量”完成情况为主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特困家庭医疗救助人数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408人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408人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精神病药物救助人次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4765人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4765人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核工业特殊困难群体医疗救助人数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对符合医疗救助政策的对象做到应救尽救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00%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年度内对救助对象及时救助的及时率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特困家庭医疗救助人数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698万元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428万元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政策变化和疫情影响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精神病药物救助人次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113万元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68万元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疫情影响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健康扶贫一站式结算救助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50万元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50万元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核工业特殊困难群体医疗救助人数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1万元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0.3万元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将医疗救助政策落到实处，为特困群体排忧解难。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救助对象满意率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项目支出绩效自评表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eastAsia="zh-CN"/>
        </w:rPr>
        <w:t>（专项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（</w:t>
      </w:r>
      <w:r>
        <w:rPr>
          <w:rFonts w:hint="eastAsia" w:ascii="Times New Roman" w:hAnsi="Times New Roman"/>
          <w:color w:val="000000"/>
          <w:kern w:val="0"/>
          <w:szCs w:val="21"/>
          <w:lang w:val="en-US" w:eastAsia="zh-CN"/>
        </w:rPr>
        <w:t>2022</w:t>
      </w:r>
      <w:r>
        <w:rPr>
          <w:rFonts w:ascii="Times New Roman" w:hAnsi="Times New Roman" w:eastAsia="仿宋_GB2312"/>
          <w:color w:val="000000"/>
          <w:kern w:val="0"/>
          <w:szCs w:val="21"/>
        </w:rPr>
        <w:t>年度）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94"/>
        <w:gridCol w:w="614"/>
        <w:gridCol w:w="2422"/>
        <w:gridCol w:w="1018"/>
        <w:gridCol w:w="1047"/>
        <w:gridCol w:w="740"/>
        <w:gridCol w:w="601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5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业务工作经费及运行维护经费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5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医保局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执行数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分值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执行率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100%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注：以“定量”目标为主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4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注：以“定量”完成情况为主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(50分)</w:t>
            </w:r>
          </w:p>
        </w:tc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村党组书记体检人数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114人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村党组书记参加商业保险人数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114人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114人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城乡居民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基本医疗保险参保人数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150000人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157245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完成定点医疗机构监管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255家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255家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村党组书记体检参检率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村党组书记参保率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城乡居民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基本医疗保险参保人数完成率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定点医疗机构监管覆盖率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年度内按质按量完成本局所有工作任务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村党组书记体检和商业保险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24万元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24万元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专项工作经费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55万元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55万元 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为村党组书记解决健康安全后顾之忧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保障人民群众就医需求，提高医疗资源使用效率和医疗保障水平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eastAsia="zh-CN"/>
              </w:rPr>
              <w:t>服务对象满意率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9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56" w:leftChars="-20" w:right="-56" w:rightChars="-20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Times New Roman" w:hAnsi="Times New Roman"/>
          <w:lang w:eastAsia="zh-CN"/>
        </w:rPr>
      </w:pPr>
    </w:p>
    <w:p/>
    <w:sectPr>
      <w:footerReference r:id="rId3" w:type="default"/>
      <w:pgSz w:w="11907" w:h="16840"/>
      <w:pgMar w:top="1928" w:right="1587" w:bottom="1928" w:left="1587" w:header="851" w:footer="1361" w:gutter="0"/>
      <w:pgNumType w:fmt="decimal" w:start="1"/>
      <w:cols w:space="72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Y0ZDQ2ZWVhYjIwOGJmOTQxZGM4N2M5NTY5YTUifQ=="/>
  </w:docVars>
  <w:rsids>
    <w:rsidRoot w:val="011F323B"/>
    <w:rsid w:val="011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cs="仿宋_GB2312"/>
      <w:sz w:val="24"/>
      <w:szCs w:val="2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2023-10-16T02:57:00Z</dcterms:created>
  <dc:creator>维E</dc:creator>
  <cp:lastModifiedBy>维E</cp:lastModifiedBy>
  <dcterms:modified xsi:type="dcterms:W3CDTF">2023-10-16T05:51:33Z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EA58AD7FD4B14C82BFF398D14342FE48</vt:lpwstr>
  </property>
</Properties>
</file>