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eastAsia="黑体"/>
          <w:kern w:val="0"/>
          <w:sz w:val="32"/>
          <w:szCs w:val="32"/>
          <w:lang w:eastAsia="zh-CN"/>
        </w:rPr>
      </w:pPr>
      <w:r>
        <w:rPr>
          <w:rFonts w:eastAsia="黑体"/>
          <w:kern w:val="0"/>
          <w:sz w:val="32"/>
          <w:szCs w:val="32"/>
        </w:rPr>
        <w:t>附件</w:t>
      </w:r>
      <w:r>
        <w:rPr>
          <w:rFonts w:hint="eastAsia" w:eastAsia="黑体"/>
          <w:kern w:val="0"/>
          <w:sz w:val="32"/>
          <w:szCs w:val="32"/>
          <w:lang w:val="en-US" w:eastAsia="zh-CN"/>
        </w:rPr>
        <w:t>1</w:t>
      </w:r>
    </w:p>
    <w:p>
      <w:pPr>
        <w:spacing w:line="600" w:lineRule="exact"/>
        <w:rPr>
          <w:rFonts w:eastAsia="黑体"/>
          <w:kern w:val="0"/>
          <w:sz w:val="32"/>
          <w:szCs w:val="32"/>
        </w:rPr>
      </w:pPr>
    </w:p>
    <w:p>
      <w:pPr>
        <w:pStyle w:val="4"/>
        <w:bidi w:val="0"/>
        <w:jc w:val="center"/>
      </w:pPr>
      <w:r>
        <w:rPr>
          <w:rFonts w:hint="eastAsia"/>
          <w:lang w:val="en-US" w:eastAsia="zh-CN"/>
        </w:rPr>
        <w:t>2022</w:t>
      </w:r>
      <w:r>
        <w:t>年度</w:t>
      </w:r>
      <w:r>
        <w:rPr>
          <w:rFonts w:hint="eastAsia"/>
        </w:rPr>
        <w:t>长沙市开福区卫生计生综合监督执法局</w:t>
      </w:r>
      <w:r>
        <w:t>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720" w:firstLineChars="200"/>
        <w:jc w:val="center"/>
        <w:rPr>
          <w:rFonts w:eastAsia="黑体"/>
          <w:sz w:val="36"/>
          <w:szCs w:val="36"/>
        </w:rPr>
      </w:pPr>
      <w:r>
        <w:rPr>
          <w:rFonts w:eastAsia="黑体"/>
          <w:sz w:val="36"/>
          <w:szCs w:val="36"/>
        </w:rPr>
        <w:t>单位名称（盖章）：</w:t>
      </w:r>
    </w:p>
    <w:p>
      <w:pPr>
        <w:jc w:val="center"/>
        <w:rPr>
          <w:rFonts w:eastAsia="黑体"/>
          <w:sz w:val="36"/>
          <w:szCs w:val="36"/>
        </w:rPr>
      </w:pPr>
    </w:p>
    <w:p>
      <w:pPr>
        <w:jc w:val="center"/>
        <w:rPr>
          <w:rFonts w:eastAsia="仿宋_GB2312"/>
          <w:sz w:val="32"/>
          <w:szCs w:val="32"/>
        </w:rPr>
      </w:pPr>
    </w:p>
    <w:p>
      <w:pPr>
        <w:spacing w:line="600" w:lineRule="exact"/>
        <w:ind w:firstLine="640" w:firstLineChars="200"/>
        <w:rPr>
          <w:rFonts w:eastAsia="黑体"/>
          <w:sz w:val="32"/>
          <w:szCs w:val="32"/>
        </w:rPr>
      </w:pPr>
      <w:r>
        <w:rPr>
          <w:rFonts w:eastAsia="仿宋_GB2312"/>
          <w:sz w:val="32"/>
          <w:szCs w:val="32"/>
        </w:rPr>
        <w:br w:type="page"/>
      </w:r>
      <w:r>
        <w:rPr>
          <w:rFonts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（一）部门（单位）基本情况</w:t>
      </w:r>
    </w:p>
    <w:p>
      <w:pPr>
        <w:snapToGrid w:val="0"/>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sz w:val="32"/>
          <w:szCs w:val="32"/>
        </w:rPr>
        <w:t>1．主要职能</w:t>
      </w:r>
      <w:r>
        <w:rPr>
          <w:rFonts w:hint="eastAsia" w:ascii="仿宋_GB2312" w:hAnsi="仿宋"/>
          <w:sz w:val="32"/>
          <w:szCs w:val="32"/>
          <w:lang w:eastAsia="zh-CN"/>
        </w:rPr>
        <w:t>：</w:t>
      </w:r>
      <w:r>
        <w:rPr>
          <w:rFonts w:hint="eastAsia" w:ascii="仿宋_GB2312" w:hAnsi="仿宋" w:eastAsia="仿宋_GB2312" w:cs="仿宋"/>
          <w:sz w:val="32"/>
          <w:szCs w:val="32"/>
        </w:rPr>
        <w:t>我局依法开展公共场所卫生、饮用水卫生、学校卫生、医疗卫生、职业卫生、放射卫生、传染病防治、计划生育和中医服务等9项行政执法工作。涉及日常监管、行政许可、行政检查及处罚、受理举报投诉、处置突发公共卫生事件、督办两非案件及社会抚养费征收、服务区中心工作等方面。</w:t>
      </w:r>
    </w:p>
    <w:p>
      <w:pPr>
        <w:numPr>
          <w:ilvl w:val="0"/>
          <w:numId w:val="1"/>
        </w:numPr>
        <w:spacing w:line="570" w:lineRule="exact"/>
        <w:ind w:firstLine="640" w:firstLineChars="200"/>
        <w:rPr>
          <w:rFonts w:hint="eastAsia" w:ascii="仿宋_GB2312" w:hAnsi="仿宋" w:eastAsia="仿宋_GB2312" w:cs="仿宋"/>
          <w:sz w:val="32"/>
          <w:szCs w:val="32"/>
        </w:rPr>
      </w:pPr>
      <w:r>
        <w:rPr>
          <w:rFonts w:hint="eastAsia" w:ascii="仿宋_GB2312" w:hAnsi="仿宋" w:eastAsia="仿宋_GB2312"/>
          <w:sz w:val="32"/>
          <w:szCs w:val="32"/>
        </w:rPr>
        <w:t>机构情况</w:t>
      </w:r>
      <w:r>
        <w:rPr>
          <w:rFonts w:hint="eastAsia" w:ascii="仿宋_GB2312" w:hAnsi="仿宋"/>
          <w:sz w:val="32"/>
          <w:szCs w:val="32"/>
          <w:lang w:eastAsia="zh-CN"/>
        </w:rPr>
        <w:t>：</w:t>
      </w:r>
      <w:r>
        <w:rPr>
          <w:rFonts w:hint="eastAsia" w:ascii="仿宋_GB2312" w:hAnsi="仿宋_GB2312" w:eastAsia="仿宋_GB2312" w:cs="仿宋_GB2312"/>
          <w:bCs/>
          <w:sz w:val="32"/>
          <w:szCs w:val="32"/>
        </w:rPr>
        <w:t>本部门由</w:t>
      </w:r>
      <w:r>
        <w:rPr>
          <w:rFonts w:hint="eastAsia" w:ascii="仿宋_GB2312" w:hAnsi="仿宋_GB2312" w:cs="仿宋_GB2312"/>
          <w:bCs/>
          <w:sz w:val="32"/>
          <w:szCs w:val="32"/>
          <w:lang w:val="en-US" w:eastAsia="zh-CN"/>
        </w:rPr>
        <w:t>1</w:t>
      </w:r>
      <w:r>
        <w:rPr>
          <w:rFonts w:hint="eastAsia" w:ascii="仿宋_GB2312" w:hAnsi="仿宋_GB2312" w:eastAsia="仿宋_GB2312" w:cs="仿宋_GB2312"/>
          <w:bCs/>
          <w:sz w:val="32"/>
          <w:szCs w:val="32"/>
        </w:rPr>
        <w:t>个事业单位组成，</w:t>
      </w:r>
      <w:r>
        <w:rPr>
          <w:rFonts w:hint="eastAsia" w:ascii="仿宋_GB2312" w:hAnsi="仿宋" w:eastAsia="仿宋_GB2312" w:cs="仿宋"/>
          <w:sz w:val="32"/>
          <w:szCs w:val="32"/>
        </w:rPr>
        <w:t>内设办公室、公共场所科、医疗执业科、学校卫生科、法制稽查科。</w:t>
      </w:r>
    </w:p>
    <w:p>
      <w:pPr>
        <w:spacing w:line="570" w:lineRule="exact"/>
        <w:ind w:firstLine="640" w:firstLineChars="200"/>
        <w:rPr>
          <w:rFonts w:eastAsia="楷体_GB2312"/>
          <w:b/>
          <w:sz w:val="32"/>
          <w:szCs w:val="32"/>
        </w:rPr>
      </w:pPr>
      <w:r>
        <w:rPr>
          <w:rFonts w:hint="eastAsia" w:ascii="仿宋_GB2312" w:hAnsi="仿宋" w:eastAsia="仿宋_GB2312"/>
          <w:sz w:val="32"/>
          <w:szCs w:val="32"/>
        </w:rPr>
        <w:t>3．人员情况</w:t>
      </w:r>
      <w:r>
        <w:rPr>
          <w:rFonts w:hint="eastAsia" w:ascii="仿宋_GB2312" w:hAnsi="仿宋"/>
          <w:sz w:val="32"/>
          <w:szCs w:val="32"/>
          <w:lang w:eastAsia="zh-CN"/>
        </w:rPr>
        <w:t>：</w:t>
      </w:r>
      <w:r>
        <w:rPr>
          <w:rFonts w:hint="eastAsia" w:ascii="仿宋_GB2312" w:hAnsi="仿宋_GB2312" w:eastAsia="仿宋_GB2312" w:cs="仿宋_GB2312"/>
          <w:bCs/>
          <w:sz w:val="32"/>
          <w:szCs w:val="32"/>
        </w:rPr>
        <w:t>本单位年初在职人数</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人，年末在职人数</w:t>
      </w:r>
      <w:r>
        <w:rPr>
          <w:rFonts w:hint="eastAsia" w:ascii="仿宋_GB2312" w:hAnsi="仿宋_GB2312" w:eastAsia="仿宋_GB2312" w:cs="仿宋_GB2312"/>
          <w:bCs/>
          <w:sz w:val="32"/>
          <w:szCs w:val="32"/>
          <w:lang w:val="en-US" w:eastAsia="zh-CN"/>
        </w:rPr>
        <w:t>18</w:t>
      </w:r>
      <w:r>
        <w:rPr>
          <w:rFonts w:hint="eastAsia" w:ascii="仿宋_GB2312" w:hAnsi="仿宋_GB2312" w:eastAsia="仿宋_GB2312" w:cs="仿宋_GB2312"/>
          <w:bCs/>
          <w:sz w:val="32"/>
          <w:szCs w:val="32"/>
        </w:rPr>
        <w:t>人（</w:t>
      </w:r>
      <w:r>
        <w:rPr>
          <w:rFonts w:hint="eastAsia" w:ascii="仿宋_GB2312" w:hAnsi="仿宋_GB2312" w:eastAsia="仿宋_GB2312" w:cs="仿宋_GB2312"/>
          <w:bCs/>
          <w:sz w:val="32"/>
          <w:szCs w:val="32"/>
          <w:lang w:val="en-US" w:eastAsia="zh-CN"/>
        </w:rPr>
        <w:t>11月调出一人，12月退休一人</w:t>
      </w:r>
      <w:r>
        <w:rPr>
          <w:rFonts w:hint="eastAsia" w:ascii="仿宋_GB2312" w:hAnsi="仿宋_GB2312" w:eastAsia="仿宋_GB2312" w:cs="仿宋_GB2312"/>
          <w:bCs/>
          <w:sz w:val="32"/>
          <w:szCs w:val="32"/>
        </w:rPr>
        <w:t>），在编人数</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人，年薪专业技术人员3人，临聘人员</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人，退休人员</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人。</w:t>
      </w:r>
    </w:p>
    <w:p>
      <w:pPr>
        <w:spacing w:line="600" w:lineRule="exact"/>
        <w:ind w:firstLine="643" w:firstLineChars="200"/>
        <w:rPr>
          <w:rFonts w:eastAsia="楷体_GB2312"/>
          <w:b/>
          <w:sz w:val="32"/>
          <w:szCs w:val="32"/>
        </w:rPr>
      </w:pPr>
      <w:r>
        <w:rPr>
          <w:rFonts w:eastAsia="楷体_GB2312"/>
          <w:b/>
          <w:sz w:val="32"/>
          <w:szCs w:val="32"/>
        </w:rPr>
        <w:t>（二）部门（单位）年度整体支出绩效目标，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 w:hAnsi="仿宋" w:eastAsia="仿宋" w:cs="仿宋"/>
          <w:bCs/>
          <w:color w:val="auto"/>
          <w:kern w:val="2"/>
          <w:sz w:val="32"/>
          <w:szCs w:val="32"/>
          <w:lang w:val="en-US" w:eastAsia="zh-CN" w:bidi="ar-SA"/>
        </w:rPr>
      </w:pPr>
      <w:r>
        <w:rPr>
          <w:rFonts w:hint="eastAsia" w:ascii="仿宋_GB2312" w:hAnsi="仿宋_GB2312" w:cs="仿宋_GB2312"/>
          <w:bCs/>
          <w:kern w:val="2"/>
          <w:sz w:val="32"/>
          <w:szCs w:val="32"/>
          <w:lang w:val="en-US" w:eastAsia="zh-CN" w:bidi="ar-SA"/>
        </w:rPr>
        <w:t>1.</w:t>
      </w:r>
      <w:r>
        <w:rPr>
          <w:rFonts w:hint="eastAsia" w:ascii="仿宋_GB2312" w:hAnsi="仿宋_GB2312" w:eastAsia="仿宋_GB2312" w:cs="仿宋_GB2312"/>
          <w:bCs/>
          <w:kern w:val="2"/>
          <w:sz w:val="32"/>
          <w:szCs w:val="32"/>
          <w:lang w:val="en-US" w:eastAsia="zh-CN" w:bidi="ar-SA"/>
        </w:rPr>
        <w:t>2022年度我局整体支出绩效目标：</w:t>
      </w:r>
      <w:r>
        <w:rPr>
          <w:rFonts w:hint="eastAsia" w:ascii="仿宋" w:hAnsi="仿宋" w:eastAsia="仿宋" w:cs="仿宋"/>
          <w:bCs/>
          <w:color w:val="auto"/>
          <w:kern w:val="2"/>
          <w:sz w:val="32"/>
          <w:szCs w:val="32"/>
          <w:lang w:val="en-US" w:eastAsia="zh-CN" w:bidi="ar-SA"/>
        </w:rPr>
        <w:t>做好直管的医疗机构、采供血机构的卫生监督管理工作；组织实施全区医疗机构执业与传染病防治监督专项执法检查；参与全区传染病防治突发事件的调查处理；违法案件查处率100%；承担全区相关专业卫生监督工作督查与业务指导；做好公共场所、生活饮用水相关法律、法规的宣传；组织实施公共场所、生活饮用水（包括二次供水和涉水产品）专项执法检查；量化分级管理率100%、违法案件查处率100%以上，创文管卫工作全面达标；切实加强校园卫生管控；结合疫情防控工作，联合开福区检察院，全面开展春、秋季学校（含托幼机构）卫生专项检查；积极开展职业病防治巡查，开展职业病危害较重以上行业企业信息核查工作；主动推进食品安全示范城市创建工作；摸排辖区医疗机构食堂，督促辖区医疗机构食堂卫生整改到位；不断完善日常稽查工作，完善投诉举报处置流程，实行24小时值班制度，力保群众满意率100%。</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cs="仿宋_GB2312"/>
          <w:bCs/>
          <w:kern w:val="2"/>
          <w:sz w:val="32"/>
          <w:szCs w:val="32"/>
          <w:lang w:val="en-US" w:eastAsia="zh-CN" w:bidi="ar-SA"/>
        </w:rPr>
      </w:pPr>
      <w:r>
        <w:rPr>
          <w:rFonts w:hint="eastAsia" w:ascii="仿宋_GB2312" w:hAnsi="仿宋_GB2312" w:cs="仿宋_GB2312"/>
          <w:bCs/>
          <w:kern w:val="2"/>
          <w:sz w:val="32"/>
          <w:szCs w:val="32"/>
          <w:lang w:val="en-US" w:eastAsia="zh-CN" w:bidi="ar-SA"/>
        </w:rPr>
        <w:t>2.2022年度我局无</w:t>
      </w:r>
      <w:r>
        <w:rPr>
          <w:rFonts w:hint="eastAsia" w:ascii="仿宋_GB2312" w:hAnsi="仿宋_GB2312" w:eastAsia="仿宋_GB2312" w:cs="仿宋_GB2312"/>
          <w:bCs/>
          <w:kern w:val="2"/>
          <w:sz w:val="32"/>
          <w:szCs w:val="32"/>
          <w:lang w:val="en-US" w:eastAsia="zh-CN" w:bidi="ar-SA"/>
        </w:rPr>
        <w:t>区级专项资金绩效目标</w:t>
      </w:r>
      <w:r>
        <w:rPr>
          <w:rFonts w:hint="eastAsia" w:ascii="仿宋_GB2312" w:hAnsi="仿宋_GB2312" w:cs="仿宋_GB2312"/>
          <w:bCs/>
          <w:kern w:val="2"/>
          <w:sz w:val="32"/>
          <w:szCs w:val="32"/>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cs="仿宋_GB2312"/>
          <w:bCs/>
          <w:kern w:val="2"/>
          <w:sz w:val="32"/>
          <w:szCs w:val="32"/>
          <w:lang w:val="en-US" w:eastAsia="zh-CN" w:bidi="ar-SA"/>
        </w:rPr>
      </w:pPr>
      <w:r>
        <w:rPr>
          <w:rFonts w:hint="eastAsia" w:ascii="仿宋_GB2312" w:hAnsi="仿宋_GB2312" w:cs="仿宋_GB2312"/>
          <w:bCs/>
          <w:kern w:val="2"/>
          <w:sz w:val="32"/>
          <w:szCs w:val="32"/>
          <w:lang w:val="en-US" w:eastAsia="zh-CN" w:bidi="ar-SA"/>
        </w:rPr>
        <w:t>3.2022年度我局</w:t>
      </w:r>
      <w:r>
        <w:rPr>
          <w:rFonts w:hint="eastAsia" w:ascii="仿宋_GB2312" w:hAnsi="仿宋_GB2312" w:eastAsia="仿宋_GB2312" w:cs="仿宋_GB2312"/>
          <w:bCs/>
          <w:kern w:val="2"/>
          <w:sz w:val="32"/>
          <w:szCs w:val="32"/>
          <w:lang w:val="en-US" w:eastAsia="zh-CN" w:bidi="ar-SA"/>
        </w:rPr>
        <w:t>其他项目支出（除区级专项资金以外）绩效目标</w:t>
      </w:r>
      <w:r>
        <w:rPr>
          <w:rFonts w:hint="eastAsia" w:ascii="仿宋_GB2312" w:hAnsi="仿宋_GB2312" w:cs="仿宋_GB2312"/>
          <w:bCs/>
          <w:kern w:val="2"/>
          <w:sz w:val="32"/>
          <w:szCs w:val="32"/>
          <w:lang w:val="en-US" w:eastAsia="zh-CN" w:bidi="ar-SA"/>
        </w:rPr>
        <w:t>共设置了如下四个：</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default" w:ascii="仿宋_GB2312" w:hAnsi="仿宋_GB2312" w:cs="仿宋_GB2312"/>
          <w:bCs/>
          <w:kern w:val="2"/>
          <w:sz w:val="32"/>
          <w:szCs w:val="32"/>
          <w:lang w:val="en-US" w:eastAsia="zh-CN" w:bidi="ar-SA"/>
        </w:rPr>
      </w:pPr>
      <w:r>
        <w:rPr>
          <w:rFonts w:hint="eastAsia" w:ascii="仿宋_GB2312" w:hAnsi="仿宋_GB2312" w:cs="仿宋_GB2312"/>
          <w:bCs/>
          <w:kern w:val="2"/>
          <w:sz w:val="32"/>
          <w:szCs w:val="32"/>
          <w:lang w:val="en-US" w:eastAsia="zh-CN" w:bidi="ar-SA"/>
        </w:rPr>
        <w:t>（1）单位运行维护经费：做好职工后勤保障，维持工作正常运转。按照440元/月/人用餐标准补助职工伙食费用，缴纳2021年度残疾人就业保障金；</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cs="仿宋_GB2312"/>
          <w:bCs/>
          <w:kern w:val="2"/>
          <w:sz w:val="32"/>
          <w:szCs w:val="32"/>
          <w:lang w:val="en-US" w:eastAsia="zh-CN" w:bidi="ar-SA"/>
        </w:rPr>
      </w:pPr>
      <w:r>
        <w:rPr>
          <w:rFonts w:hint="eastAsia" w:ascii="仿宋_GB2312" w:hAnsi="仿宋_GB2312" w:cs="仿宋_GB2312"/>
          <w:bCs/>
          <w:kern w:val="2"/>
          <w:sz w:val="32"/>
          <w:szCs w:val="32"/>
          <w:lang w:val="en-US" w:eastAsia="zh-CN" w:bidi="ar-SA"/>
        </w:rPr>
        <w:t>（2）退休人员、调出人员补缴职业年金：根据区养老保险管理信息系统测算职业年金，及时缴纳，确保退休人员、调出人员补缴职业年金及时到位；</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cs="仿宋_GB2312"/>
          <w:bCs/>
          <w:kern w:val="2"/>
          <w:sz w:val="32"/>
          <w:szCs w:val="32"/>
          <w:lang w:val="en-US" w:eastAsia="zh-CN" w:bidi="ar-SA"/>
        </w:rPr>
      </w:pPr>
      <w:r>
        <w:rPr>
          <w:rFonts w:hint="eastAsia" w:ascii="仿宋_GB2312" w:hAnsi="仿宋_GB2312" w:cs="仿宋_GB2312"/>
          <w:bCs/>
          <w:kern w:val="2"/>
          <w:sz w:val="32"/>
          <w:szCs w:val="32"/>
          <w:lang w:val="en-US" w:eastAsia="zh-CN" w:bidi="ar-SA"/>
        </w:rPr>
        <w:t>（3）卫生计生综合监督执法经费：对于公共场所、二次供水抽检、职业卫生、放射卫生、采供血机构等监督覆盖率达到上级目标要求；</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default" w:ascii="仿宋_GB2312" w:hAnsi="仿宋_GB2312" w:cs="仿宋_GB2312"/>
          <w:bCs/>
          <w:kern w:val="2"/>
          <w:sz w:val="32"/>
          <w:szCs w:val="32"/>
          <w:lang w:val="en-US" w:eastAsia="zh-CN" w:bidi="ar-SA"/>
        </w:rPr>
      </w:pPr>
      <w:r>
        <w:rPr>
          <w:rFonts w:hint="eastAsia" w:ascii="仿宋_GB2312" w:hAnsi="仿宋_GB2312" w:cs="仿宋_GB2312"/>
          <w:bCs/>
          <w:kern w:val="2"/>
          <w:sz w:val="32"/>
          <w:szCs w:val="32"/>
          <w:lang w:val="en-US" w:eastAsia="zh-CN" w:bidi="ar-SA"/>
        </w:rPr>
        <w:t>（4）2022年双随机监督抽检、健康危害因素监测项目检测费：</w:t>
      </w:r>
      <w:r>
        <w:rPr>
          <w:rFonts w:hint="eastAsia" w:ascii="仿宋_GB2312" w:hAnsi="仿宋_GB2312" w:eastAsia="仿宋_GB2312" w:cs="仿宋_GB2312"/>
          <w:sz w:val="32"/>
          <w:szCs w:val="32"/>
          <w:lang w:val="en-US" w:eastAsia="zh-CN"/>
        </w:rPr>
        <w:t>执行国家双随机任务100家，根据省市任务增加抽取执行任务40家，按照要求完成监督抽检任务，主动扩大双随机抽检范围，扩检64家监督单位，包含48家医疗机构、10家公共场所、6家二次供水单位；检测内容包含医疗污水、医护人员手卫生、医疗器械消毒情况检测，公共场所空气、空调、布草检测等内容。</w:t>
      </w:r>
    </w:p>
    <w:p>
      <w:pPr>
        <w:pStyle w:val="10"/>
        <w:spacing w:line="60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10"/>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pStyle w:val="10"/>
        <w:keepNext w:val="0"/>
        <w:keepLines w:val="0"/>
        <w:pageBreakBefore w:val="0"/>
        <w:widowControl/>
        <w:numPr>
          <w:ilvl w:val="0"/>
          <w:numId w:val="0"/>
        </w:numPr>
        <w:kinsoku/>
        <w:wordWrap/>
        <w:overflowPunct/>
        <w:topLinePunct w:val="0"/>
        <w:autoSpaceDE/>
        <w:autoSpaceDN/>
        <w:bidi w:val="0"/>
        <w:adjustRightInd/>
        <w:spacing w:line="240" w:lineRule="auto"/>
        <w:ind w:firstLine="640" w:firstLineChars="200"/>
        <w:textAlignment w:val="auto"/>
        <w:rPr>
          <w:rFonts w:hint="default" w:ascii="Times New Roman" w:hAnsi="Times New Roman" w:eastAsia="楷体_GB2312"/>
          <w:b/>
          <w:sz w:val="32"/>
          <w:szCs w:val="32"/>
          <w:lang w:val="en-US"/>
        </w:rPr>
      </w:pPr>
      <w:r>
        <w:rPr>
          <w:rFonts w:hint="eastAsia" w:ascii="仿宋_GB2312" w:hAnsi="仿宋_GB2312" w:eastAsia="仿宋_GB2312" w:cs="仿宋_GB2312"/>
          <w:kern w:val="2"/>
          <w:sz w:val="32"/>
          <w:szCs w:val="32"/>
          <w:lang w:val="en-US" w:eastAsia="zh-CN" w:bidi="ar-SA"/>
        </w:rPr>
        <w:t>2022年度我局基本支出共513.69万元，其中人员经费472.39万元，公用经费41.30万元。</w:t>
      </w:r>
    </w:p>
    <w:p>
      <w:pPr>
        <w:pStyle w:val="10"/>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（二）项目支出情况</w:t>
      </w:r>
    </w:p>
    <w:p>
      <w:pPr>
        <w:spacing w:line="600" w:lineRule="exact"/>
        <w:ind w:firstLine="640" w:firstLineChars="200"/>
        <w:rPr>
          <w:rFonts w:eastAsia="仿宋_GB2312"/>
          <w:sz w:val="32"/>
          <w:szCs w:val="32"/>
        </w:rPr>
      </w:pPr>
      <w:r>
        <w:rPr>
          <w:rFonts w:hint="eastAsia" w:ascii="仿宋_GB2312" w:hAnsi="仿宋_GB2312" w:eastAsia="仿宋_GB2312" w:cs="仿宋_GB2312"/>
          <w:kern w:val="2"/>
          <w:sz w:val="32"/>
          <w:szCs w:val="32"/>
          <w:lang w:val="en-US" w:eastAsia="zh-CN" w:bidi="ar-SA"/>
        </w:rPr>
        <w:t>2022年度我局</w:t>
      </w:r>
      <w:r>
        <w:rPr>
          <w:rFonts w:hint="eastAsia" w:ascii="仿宋_GB2312" w:hAnsi="仿宋_GB2312" w:cs="仿宋_GB2312"/>
          <w:kern w:val="2"/>
          <w:sz w:val="32"/>
          <w:szCs w:val="32"/>
          <w:lang w:val="en-US" w:eastAsia="zh-CN" w:bidi="ar-SA"/>
        </w:rPr>
        <w:t>项目</w:t>
      </w:r>
      <w:r>
        <w:rPr>
          <w:rFonts w:hint="eastAsia" w:ascii="仿宋_GB2312" w:hAnsi="仿宋_GB2312" w:eastAsia="仿宋_GB2312" w:cs="仿宋_GB2312"/>
          <w:kern w:val="2"/>
          <w:sz w:val="32"/>
          <w:szCs w:val="32"/>
          <w:lang w:val="en-US" w:eastAsia="zh-CN" w:bidi="ar-SA"/>
        </w:rPr>
        <w:t>支出共</w:t>
      </w:r>
      <w:r>
        <w:rPr>
          <w:rFonts w:hint="eastAsia" w:ascii="仿宋_GB2312" w:hAnsi="仿宋_GB2312" w:cs="仿宋_GB2312"/>
          <w:kern w:val="2"/>
          <w:sz w:val="32"/>
          <w:szCs w:val="32"/>
          <w:lang w:val="en-US" w:eastAsia="zh-CN" w:bidi="ar-SA"/>
        </w:rPr>
        <w:t>58.23</w:t>
      </w:r>
      <w:r>
        <w:rPr>
          <w:rFonts w:hint="eastAsia" w:ascii="仿宋_GB2312" w:hAnsi="仿宋_GB2312" w:eastAsia="仿宋_GB2312" w:cs="仿宋_GB2312"/>
          <w:kern w:val="2"/>
          <w:sz w:val="32"/>
          <w:szCs w:val="32"/>
          <w:lang w:val="en-US" w:eastAsia="zh-CN" w:bidi="ar-SA"/>
        </w:rPr>
        <w:t>万元，其中</w:t>
      </w:r>
      <w:r>
        <w:rPr>
          <w:rFonts w:hint="eastAsia" w:ascii="仿宋_GB2312" w:hAnsi="仿宋_GB2312" w:cs="仿宋_GB2312"/>
          <w:kern w:val="2"/>
          <w:sz w:val="32"/>
          <w:szCs w:val="32"/>
          <w:lang w:val="en-US" w:eastAsia="zh-CN" w:bidi="ar-SA"/>
        </w:rPr>
        <w:t>单位运行维护经费12.14万元，专项资金支出46.09万元（包含退休人员、调出人员补缴职业年金9.48万元、卫生计生综合监督执法经费17.45万元、2022年双随机监督抽检、健康危害因素监测项目检测费19.16万元）</w:t>
      </w:r>
      <w:r>
        <w:rPr>
          <w:rFonts w:eastAsia="仿宋_GB2312"/>
          <w:sz w:val="32"/>
          <w:szCs w:val="32"/>
        </w:rPr>
        <w:t>。</w:t>
      </w:r>
    </w:p>
    <w:p>
      <w:pPr>
        <w:pStyle w:val="10"/>
        <w:numPr>
          <w:ilvl w:val="0"/>
          <w:numId w:val="2"/>
        </w:numPr>
        <w:spacing w:line="600" w:lineRule="exact"/>
        <w:ind w:firstLine="640"/>
        <w:rPr>
          <w:rFonts w:ascii="Times New Roman" w:hAnsi="Times New Roman" w:eastAsia="黑体"/>
          <w:sz w:val="32"/>
          <w:szCs w:val="32"/>
        </w:rPr>
      </w:pPr>
      <w:r>
        <w:rPr>
          <w:rFonts w:ascii="Times New Roman" w:hAnsi="Times New Roman" w:eastAsia="黑体"/>
          <w:sz w:val="32"/>
          <w:szCs w:val="32"/>
        </w:rPr>
        <w:t>政府性基金预算支出情况</w:t>
      </w:r>
    </w:p>
    <w:p>
      <w:pPr>
        <w:pStyle w:val="10"/>
        <w:numPr>
          <w:ilvl w:val="0"/>
          <w:numId w:val="0"/>
        </w:numPr>
        <w:spacing w:line="600" w:lineRule="exact"/>
        <w:ind w:leftChars="200"/>
        <w:rPr>
          <w:rFonts w:hint="default" w:ascii="Times New Roman" w:hAnsi="Times New Roman" w:eastAsia="黑体"/>
          <w:sz w:val="32"/>
          <w:szCs w:val="32"/>
          <w:lang w:val="en-US"/>
        </w:rPr>
      </w:pPr>
      <w:r>
        <w:rPr>
          <w:rFonts w:hint="eastAsia" w:ascii="Times New Roman" w:hAnsi="Times New Roman" w:eastAsia="仿宋_GB2312" w:cs="Times New Roman"/>
          <w:color w:val="000000"/>
          <w:kern w:val="2"/>
          <w:sz w:val="32"/>
          <w:szCs w:val="32"/>
          <w:lang w:val="en-US" w:eastAsia="zh-CN" w:bidi="ar-SA"/>
        </w:rPr>
        <w:t>2022年度我局无政府性基金预算支出。</w:t>
      </w:r>
    </w:p>
    <w:p>
      <w:pPr>
        <w:pStyle w:val="10"/>
        <w:numPr>
          <w:ilvl w:val="0"/>
          <w:numId w:val="2"/>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10"/>
        <w:numPr>
          <w:ilvl w:val="0"/>
          <w:numId w:val="0"/>
        </w:numPr>
        <w:spacing w:line="600" w:lineRule="exact"/>
        <w:ind w:leftChars="200"/>
        <w:rPr>
          <w:rFonts w:ascii="Times New Roman" w:hAnsi="Times New Roman" w:eastAsia="黑体"/>
          <w:sz w:val="32"/>
          <w:szCs w:val="32"/>
        </w:rPr>
      </w:pPr>
      <w:r>
        <w:rPr>
          <w:rFonts w:hint="eastAsia" w:ascii="Times New Roman" w:hAnsi="Times New Roman" w:eastAsia="仿宋_GB2312" w:cs="Times New Roman"/>
          <w:color w:val="000000"/>
          <w:kern w:val="2"/>
          <w:sz w:val="32"/>
          <w:szCs w:val="32"/>
          <w:lang w:val="en-US" w:eastAsia="zh-CN" w:bidi="ar-SA"/>
        </w:rPr>
        <w:t>2022年度我局无国有资本经营预算支出。</w:t>
      </w:r>
    </w:p>
    <w:p>
      <w:pPr>
        <w:pStyle w:val="10"/>
        <w:numPr>
          <w:ilvl w:val="0"/>
          <w:numId w:val="2"/>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10"/>
        <w:numPr>
          <w:ilvl w:val="0"/>
          <w:numId w:val="0"/>
        </w:numPr>
        <w:spacing w:line="600" w:lineRule="exact"/>
        <w:ind w:leftChars="200"/>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2022年度我局无社会保险基金预算支出。</w:t>
      </w:r>
    </w:p>
    <w:p>
      <w:pPr>
        <w:spacing w:line="600" w:lineRule="exact"/>
        <w:ind w:firstLine="640" w:firstLineChars="200"/>
        <w:rPr>
          <w:rFonts w:eastAsia="黑体"/>
          <w:sz w:val="32"/>
          <w:szCs w:val="32"/>
        </w:rPr>
      </w:pPr>
      <w:r>
        <w:rPr>
          <w:rFonts w:eastAsia="黑体"/>
          <w:sz w:val="32"/>
          <w:szCs w:val="32"/>
        </w:rPr>
        <w:t>六、部门整体支出绩效情况</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2022年度我局</w:t>
      </w:r>
      <w:r>
        <w:rPr>
          <w:rFonts w:eastAsia="仿宋_GB2312"/>
          <w:color w:val="000000"/>
          <w:sz w:val="32"/>
          <w:szCs w:val="32"/>
        </w:rPr>
        <w:t>“四本预算”支出的绩效目标完成情况</w:t>
      </w:r>
      <w:r>
        <w:rPr>
          <w:rFonts w:hint="eastAsia"/>
          <w:color w:val="000000"/>
          <w:sz w:val="32"/>
          <w:szCs w:val="32"/>
          <w:lang w:val="en-US" w:eastAsia="zh-CN"/>
        </w:rPr>
        <w:t>如下：</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一）、注重队伍建设，提升监督服务能力。一是优化配置，科学划分职责。目前全局设置办公室和3个综合执法科室，核定14个参公编制，其中副科级职数2名。目前在职参工干部12人，编外年薪制专业技术人员3人，临聘人员3人，共计18人。实行条块结合，对全区1259家监管对象按地域划分综合监督执法，其中公共场所单位350家、二次供水单位75家、医疗机构467家、学校及幼儿园246家、放射诊疗单位58家、母婴保健服务机构19家、职业卫生用人单位42家、餐具饮具集中消毒2家。二是保障经费，提高业务素质。提前预留执法经费，确保所需执法设备，全力保障执法效率。充分开展宣传培训，多方提升专业素养，努力搭建内外结合、综合完善的人才培养平台，着力培养复合型监督员。我局每年执法业务经费人均不少于1.5万元，共组织10批90人次卫生监督员参加省、市、区培训，同时积极开展管理相对人各类培训会5场，参训940余人次。三是提高效能，建立卫监大数据。有效利用“长沙智慧卫监系统”，实行在线监督检测、移动执法、执法全过程记录等，明确专职信息员，及时录入监管信息，打造卫监互联网。四是加大培训，提高多方面能力。2022年4月2日，组织卫生监督员开展2022年湖南卫生健康综合监管平台V3.0系统培训，熟知电脑端和手机端平台各项功能和使用方法；2022年5月7日，面向全体职工开展摄影技能培训，学习照相机基础功能分析、摄影技巧和会务摄影礼仪；2022年6月10日，组织召开2022年职业病防治执法业务能力培训，深入剖析用人单位监督执法重点工作和常见问题；2022年6月至7月，组织执法人员如法网线上学习相关法律法规等。</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二）、围绕中心任务，扎实推进基本工作。一是全面开展医疗执业及传染病防治工作。结合新冠疫情防控、扫黑除恶专项行动和打击医疗欺诈专项整治，重点开展医养结合、医美、打击非法医疗美容、医疗乱象、健康体检机构、打击非法行医、母婴保健、计划生育技术服务机构、传染病防治、消毒产品、疫苗流通和接种单位、病原微生物实验室生物安全、医疗废物及污水处置、医院感染管理等专项工作，共立案32起，结案30起，其中简易程序8起，一般程序22起，罚款29.5万元，没收违法所得4500元。办理罚款5万元以上大案要案两起，目前正处于调查处理阶段。规范辖区医疗美容机构信息公示，统一制作“开福区医疗美容机构公示栏”，并添加投诉举报、行政处罚信息公示内容。二是持续规范公共场所卫生监督。对全区94家住宿场所开展专项监督，责令整改20家，立案查处1起，罚款600元；对43家游泳场馆全覆盖监督和抽样检测，责令整改16家，立案处罚9家，已结案9家，共计罚款24500元；对48家自建房相关经营单位公共场所进行卫生检查，停业整顿3家，责令整改37家，立案0家；协同区文明办、区卫健局对全区开展控烟专项督查行动，共督查公共场所、医疗机构、生活饮用水单位、消毒产品经营和使用单位等共43家，责令限期整改4家，立案3家，罚款150元；对350家公共场所进行量化分级评定，五类经营性公共场所量化率均达100%，共计评定A级单位3家，B级单位32家，C级单位315家。三是全力保障生活饮用水安全。对75家在册监管二次供水单位全覆盖检查，责令整改2家次。同时委托第三方对10家生活饮用水单位开展“双随机、一公开”抽样检测，检测合格率100%；对16家二次供水单位开展危害因素监督抽样检测，检测合格率100%。对80家学校开展分质供水、自备水专项整治，督促3家学校新接通自来水，4所学校新打深井，分质供水卫生许可证办理数量由20家增至64家。四是切实加强校园卫生管控。全面开展学校（含托幼机构）卫生专项检查，检查学校82家，托幼机构73家。根据国家“双随机”任务，抽取7家学校开展教室采光照明、教室人均面积等监督抽检，并对7家抽检不合格单位立案处罚，督促整改落实到位。五是集中开展建材行业职业病危害整治行动。组织召开“2022年职业病防治执法业务能力培训会”，进行工作部署动员，并邀请市局专家进行专题授课，提高执法人员业务能力及政策理解。集中监管力量检查企业20家，下达卫生监督意见书20份，立案查处4起，罚款7000元，查处力度明显加强。六是主动推进食品安全示范城市创建工作。对在册的2家餐饮具集中消毒单位实行全覆盖检查，并对其餐饮具及水样进行危害因素抽检，检测合格率100%。七是积极开展双随机及危害因素随机抽检工作。执行国家双随机任务100家，监督完成96家，任务关闭4家，监督完成率100%，完成率96%，完结率100%；立案数12起，均为简易程序，罚款合计1100元；根据省市任务增加抽取执行任务40家，均按照要求完成监督抽检任务，立案5起，其中一般程序2起，简易程序3起，共计罚款23400元。主动扩大双随机抽检范围，扩检64家监督单位，包含48家医疗机构、10家公共场所、6家二次供水单位；检测内容包含医疗污水、医护人员手卫生、医疗器械消毒情况检测，公共场所空气、空调、布草检测等内容。积极开展健康危害因素抽检工作，随机抽取12家学校、10家托幼机构、10家校外培训机构及10家二次供水单位进行危害因素检测，确保群众身体健康和生命安全。八是不断完善日常稽查工作。完善投诉举报处置流程，实行24小时值班制度，办理投诉举报211起，投诉及时处理率100%，反馈率100%，群众满意率100%。全年度共计立案61起，结案61起，罚款金额35.745万元，没收违法所得4500元。九是持续提升案卷质量。我局每半年组织一次行政处罚案卷评查工作，聘请专业律师，深入指出案卷中的法律问题，积极参与长沙市、开福区案卷评查工作，及时反馈改进案卷中存在的问题，持续提升案卷质量。我局在2022年度长沙市卫生健康行政处罚案卷评查中荣获二等奖，何海钢、李丹承办的何柳阳非医师行医案被评为2022年度卫生健康行政处罚优秀案卷。</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三）、积极响应号召，全力支持疫情防控工作。一是设立热线并参与机场值守。在疫情防控特殊时期，设置一台区防指疫情防控值班电话，落实24小时值班。同时派出卫生监督员参与机场值守和调度，辅助来长人员排查防控风险。二是积极开展核酸采样点院感督查。按照区防指的统一部署，对区域核酸检测开展院感督查保障，累积督导采样点357家次，督促各采样点做好院感防控，逐步实现采样工作标准、规范化。三是督促医务人员定期开展核酸。加强对医疗机构重点人群定期核酸检测工作的监督，对配合度较低的医疗机构的负责人开展集中约谈，对拒不整改者依法依规严肃处理。</w:t>
      </w:r>
    </w:p>
    <w:p>
      <w:pPr>
        <w:spacing w:line="600" w:lineRule="exact"/>
        <w:rPr>
          <w:rFonts w:hint="eastAsia" w:eastAsia="仿宋_GB2312"/>
          <w:color w:val="000000"/>
          <w:sz w:val="32"/>
          <w:szCs w:val="32"/>
          <w:lang w:val="en-US" w:eastAsia="zh-CN"/>
        </w:rPr>
      </w:pPr>
      <w:r>
        <w:rPr>
          <w:rFonts w:hint="eastAsia"/>
          <w:color w:val="000000"/>
          <w:sz w:val="32"/>
          <w:szCs w:val="32"/>
          <w:lang w:val="en-US" w:eastAsia="zh-CN"/>
        </w:rPr>
        <w:t>四是负责样本转运车辆即时消杀。在疫情防控紧要时期，积极参与样本转运车辆消杀工作，并安排工作人员实行全天候三班制对样本转运车辆进行及时有效的消杀。五是全面开展隔离酒店风险评估。为做好隔离酒店风险评估工作，局长亲自带领三名执法人员对全区所有隔离酒店进行即时、有效的督查评估，提供详细全面的指导，指出潜在风险，并督促及时整改到位。六是全力配合开展密接人群流调追踪。为加快密接人群管控，降低社会风险，全力配合区疾控中心开展密接人群流调追踪工作，电话全面追踪、信息及时反馈、疑问详细解答，提高群众配合度，减少疑虑恐慌。七是参与隔离人群调度转运工作。为减少隔离人群调度转运压力，书记主动带领三名工作人员参与隔离人员信息收集、隔离酒店安排分配、街道车辆接送调度等工作，转运安置隔离人员高效快捷，极大降低了人群疫情防控风险。</w:t>
      </w:r>
    </w:p>
    <w:p>
      <w:pPr>
        <w:pStyle w:val="10"/>
        <w:numPr>
          <w:ilvl w:val="0"/>
          <w:numId w:val="0"/>
        </w:numPr>
        <w:spacing w:line="600" w:lineRule="exact"/>
        <w:ind w:leftChars="200"/>
        <w:rPr>
          <w:rFonts w:ascii="Times New Roman" w:hAnsi="Times New Roman" w:eastAsia="黑体"/>
          <w:sz w:val="32"/>
          <w:szCs w:val="32"/>
        </w:rPr>
      </w:pPr>
      <w:r>
        <w:rPr>
          <w:rFonts w:hint="eastAsia" w:ascii="Times New Roman" w:hAnsi="Times New Roman" w:eastAsia="黑体"/>
          <w:sz w:val="32"/>
          <w:szCs w:val="32"/>
          <w:lang w:val="en-US" w:eastAsia="zh-CN"/>
        </w:rPr>
        <w:t>七、</w:t>
      </w:r>
      <w:r>
        <w:rPr>
          <w:rFonts w:ascii="Times New Roman" w:hAnsi="Times New Roman" w:eastAsia="黑体"/>
          <w:sz w:val="32"/>
          <w:szCs w:val="32"/>
        </w:rPr>
        <w:t>存在的问题及原因分析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000000"/>
          <w:sz w:val="32"/>
          <w:szCs w:val="32"/>
          <w:lang w:val="en-US" w:eastAsia="zh-CN"/>
        </w:rPr>
      </w:pPr>
      <w:r>
        <w:rPr>
          <w:rFonts w:hint="eastAsia" w:ascii="仿宋_GB2312" w:hAnsi="仿宋_GB2312" w:eastAsia="仿宋_GB2312" w:cs="仿宋_GB2312"/>
          <w:sz w:val="32"/>
          <w:szCs w:val="32"/>
          <w:lang w:val="en-US" w:eastAsia="zh-CN"/>
        </w:rPr>
        <w:t>1、人员配备难以满足工作需要。</w:t>
      </w:r>
      <w:r>
        <w:rPr>
          <w:rFonts w:hint="eastAsia" w:ascii="仿宋_GB2312" w:hAnsi="仿宋_GB2312" w:eastAsia="仿宋_GB2312" w:cs="仿宋_GB2312"/>
          <w:sz w:val="32"/>
          <w:szCs w:val="32"/>
        </w:rPr>
        <w:t>与其他区县相比，我区监管对象多，覆盖区域广，结构复杂，机构改革后全局人员编制由20名降至1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名，人少、事多、责任大的矛盾日益凸显。</w:t>
      </w:r>
      <w:r>
        <w:rPr>
          <w:rFonts w:hint="eastAsia" w:ascii="仿宋" w:hAnsi="仿宋" w:eastAsia="仿宋" w:cs="仿宋"/>
          <w:bCs/>
          <w:color w:val="000000"/>
          <w:sz w:val="32"/>
          <w:szCs w:val="32"/>
          <w:lang w:val="en-US" w:eastAsia="zh-CN"/>
        </w:rPr>
        <w:t>对民众普法知识宣传力度不足，管理相对人自检自查能力有待提高。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2、非法行医监管难度持续加大。非法行医人员和机构反侦察能力强，往往采用流窜式、隐蔽式和中介式违法方式，打击非法行医难度大、耗时长，给全区安全的医疗环境带来极大挑战，传统单一的执法模式已无法适应新形势下的医疗服务监管工作要求。依托“智慧卫监”信息平台，加快推进非现场执法、在线监督监测、层级督办共享应用等功能，全力提高执法效能，加强多部门联合，大力提高执法力度。</w:t>
      </w:r>
    </w:p>
    <w:p>
      <w:pPr>
        <w:pStyle w:val="2"/>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3、“住改商”监管难度持续加大。许多市场主体利用住宅的隐蔽性和特殊性，擅自开展违法经营活动，后续监管主要依靠投诉举报，执法人员很难主动发现问题，也不易调查取证。同时，进入居民区检查缺少法律支撑，存在执法风险，且部门间信息共享、联合执法的协作机制尚不健全，容易出现监管“脱节”，产生监管“真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4、目前仅针对持证生活饮用水管理单位进行法律培训，对民众法律法规宣传力度有限。</w:t>
      </w:r>
    </w:p>
    <w:p>
      <w:pPr>
        <w:numPr>
          <w:ilvl w:val="0"/>
          <w:numId w:val="3"/>
        </w:numPr>
        <w:spacing w:line="600" w:lineRule="exact"/>
        <w:ind w:firstLine="640" w:firstLineChars="200"/>
        <w:rPr>
          <w:rFonts w:eastAsia="黑体"/>
          <w:sz w:val="32"/>
          <w:szCs w:val="32"/>
        </w:rPr>
      </w:pPr>
      <w:r>
        <w:rPr>
          <w:rFonts w:eastAsia="黑体"/>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我局</w:t>
      </w:r>
      <w:r>
        <w:rPr>
          <w:rFonts w:hint="eastAsia" w:ascii="仿宋_GB2312" w:hAnsi="仿宋_GB2312" w:eastAsia="仿宋_GB2312" w:cs="仿宋_GB2312"/>
          <w:sz w:val="32"/>
          <w:szCs w:val="32"/>
        </w:rPr>
        <w:t>将持续加快卫生监督机构能力建设步伐，努力提高行政执法综合素质，规范卫生执法行为，加大卫生监督执法力度，保障人民健康权益，为营造全区良好的卫生安全环境打下坚实基础，为促进全区经济社会和谐发展做出应有贡献。</w:t>
      </w:r>
    </w:p>
    <w:p>
      <w:pPr>
        <w:numPr>
          <w:ilvl w:val="0"/>
          <w:numId w:val="4"/>
        </w:numPr>
        <w:spacing w:line="560" w:lineRule="exact"/>
        <w:ind w:left="-227" w:leftChars="0" w:firstLine="729" w:firstLineChars="0"/>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在完善执法体系、搭建三级网络上下真功。</w:t>
      </w:r>
      <w:r>
        <w:rPr>
          <w:rFonts w:hint="eastAsia" w:ascii="仿宋_GB2312" w:hAnsi="仿宋_GB2312" w:eastAsia="仿宋_GB2312" w:cs="仿宋_GB2312"/>
          <w:b w:val="0"/>
          <w:bCs w:val="0"/>
          <w:sz w:val="32"/>
          <w:szCs w:val="32"/>
        </w:rPr>
        <w:t>我局根据上级文件精神，进一步深入加强与街道、社区横向联动，促进“三级监管网络”真正发挥隐患排查、监督巡查、信息报送、协助执法的积极作用，不断提升执法效率和执法队伍业务水平，有效弥补人员不足的短板，让基层卫生监督成为开福群众卫生安全的坚实防线。</w:t>
      </w:r>
      <w:r>
        <w:rPr>
          <w:rFonts w:hint="eastAsia" w:ascii="仿宋" w:hAnsi="仿宋" w:eastAsia="仿宋" w:cs="仿宋"/>
          <w:bCs/>
          <w:color w:val="000000"/>
          <w:sz w:val="32"/>
          <w:szCs w:val="32"/>
          <w:lang w:val="en-US" w:eastAsia="zh-CN"/>
        </w:rPr>
        <w:t>进一步加强对管理相对人的法律培训宣传，提高频次及覆盖面，同时开展基层民众普法宣传。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2、在落实三项制度、推进智慧建设上见真效。</w:t>
      </w:r>
      <w:r>
        <w:rPr>
          <w:rFonts w:hint="eastAsia" w:ascii="仿宋_GB2312" w:hAnsi="仿宋_GB2312" w:eastAsia="仿宋_GB2312" w:cs="仿宋_GB2312"/>
          <w:b w:val="0"/>
          <w:bCs w:val="0"/>
          <w:sz w:val="32"/>
          <w:szCs w:val="32"/>
        </w:rPr>
        <w:t>认真落实行政执法公示、执法全过程记录、重大执法决定法制审核三项制度，有效规范执法行为，提升执法效能。并推进执法工作与信息化相结合，开展智慧卫监综合监管信息平台业务培训，熟悉操作流程，通过信息化、可视化为日常执法提供决策参考，推动卫生监督执法进入“互联网+”快车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3、在强化执法力度、净化市场环境上有真为。</w:t>
      </w:r>
      <w:r>
        <w:rPr>
          <w:rFonts w:hint="eastAsia" w:ascii="仿宋_GB2312" w:hAnsi="仿宋_GB2312" w:eastAsia="仿宋_GB2312" w:cs="仿宋_GB2312"/>
          <w:b w:val="0"/>
          <w:bCs w:val="0"/>
          <w:sz w:val="32"/>
          <w:szCs w:val="32"/>
        </w:rPr>
        <w:t>进一步强化行业执法检查和集中整治力度，结合医疗乱象整治专项行动，依法联合有关部门严厉打击非法行医、非法采血、“黑诊所”、“黑救护车”等违法违规行为，规范行医就医秩序，提高辖区医疗机构依法执业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lang w:val="en-US" w:eastAsia="zh-CN"/>
        </w:rPr>
      </w:pPr>
      <w:r>
        <w:rPr>
          <w:rFonts w:hint="eastAsia" w:ascii="仿宋_GB2312" w:hAnsi="仿宋_GB2312" w:eastAsia="仿宋_GB2312" w:cs="仿宋_GB2312"/>
          <w:b w:val="0"/>
          <w:bCs w:val="0"/>
          <w:sz w:val="32"/>
          <w:szCs w:val="32"/>
          <w:lang w:val="en-US" w:eastAsia="zh-CN"/>
        </w:rPr>
        <w:t>4、加大生活饮用水卫生法律培训覆盖范围，加强对民众生活饮用水法律法规宣传，提高对饮用水安全的防控意识。</w:t>
      </w:r>
    </w:p>
    <w:p>
      <w:pPr>
        <w:spacing w:line="600" w:lineRule="exact"/>
        <w:ind w:firstLine="640" w:firstLineChars="200"/>
        <w:rPr>
          <w:rFonts w:eastAsia="黑体"/>
          <w:sz w:val="32"/>
          <w:szCs w:val="32"/>
        </w:rPr>
      </w:pPr>
      <w:r>
        <w:rPr>
          <w:rFonts w:eastAsia="黑体"/>
          <w:sz w:val="32"/>
          <w:szCs w:val="32"/>
        </w:rPr>
        <w:t>九、绩效自评结果拟应用和公开情况</w:t>
      </w:r>
    </w:p>
    <w:p>
      <w:pPr>
        <w:pStyle w:val="2"/>
      </w:pPr>
      <w:r>
        <w:rPr>
          <w:rFonts w:hint="eastAsia" w:ascii="仿宋" w:hAnsi="仿宋" w:eastAsia="仿宋" w:cs="仿宋"/>
          <w:i w:val="0"/>
          <w:iCs w:val="0"/>
          <w:caps w:val="0"/>
          <w:color w:val="333333"/>
          <w:spacing w:val="0"/>
          <w:sz w:val="32"/>
          <w:szCs w:val="32"/>
          <w:shd w:val="clear" w:color="auto" w:fill="FFFFFF"/>
        </w:rPr>
        <w:t>开福区卫生计生综合监督执法局按照区委、区政府要求，积极采取措施，认真抓好《中华人民共和国政府信息公开条例》的贯彻落实。通过落实工作机构和人员、完善各项制度、开展学习宣传、加强政务公开工作，政府信息公开工作取得了良好成效。</w:t>
      </w:r>
    </w:p>
    <w:p>
      <w:pPr>
        <w:spacing w:line="600" w:lineRule="exact"/>
        <w:ind w:firstLine="640" w:firstLineChars="200"/>
        <w:rPr>
          <w:rFonts w:eastAsia="黑体"/>
          <w:sz w:val="32"/>
          <w:szCs w:val="32"/>
        </w:rPr>
      </w:pPr>
      <w:r>
        <w:rPr>
          <w:rFonts w:hint="eastAsia" w:eastAsia="黑体"/>
          <w:sz w:val="32"/>
          <w:szCs w:val="32"/>
          <w:lang w:val="en-US" w:eastAsia="zh-CN"/>
        </w:rPr>
        <w:t>十、无</w:t>
      </w:r>
      <w:r>
        <w:rPr>
          <w:rFonts w:eastAsia="黑体"/>
          <w:sz w:val="32"/>
          <w:szCs w:val="32"/>
        </w:rPr>
        <w:t>其他需要说明的情况</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报告需要以下附件：</w:t>
      </w:r>
    </w:p>
    <w:p>
      <w:pPr>
        <w:spacing w:line="600" w:lineRule="exact"/>
        <w:ind w:firstLine="640" w:firstLineChars="200"/>
        <w:rPr>
          <w:rFonts w:eastAsia="仿宋_GB2312"/>
          <w:sz w:val="32"/>
          <w:szCs w:val="32"/>
        </w:rPr>
      </w:pPr>
      <w:r>
        <w:rPr>
          <w:rFonts w:eastAsia="仿宋_GB2312"/>
          <w:sz w:val="32"/>
          <w:szCs w:val="32"/>
        </w:rPr>
        <w:t>1、部门整体支出绩效评价基础数据表</w:t>
      </w:r>
      <w:r>
        <w:rPr>
          <w:rFonts w:hint="eastAsia" w:eastAsia="仿宋_GB2312"/>
          <w:sz w:val="32"/>
          <w:szCs w:val="32"/>
        </w:rPr>
        <w:t>（P</w:t>
      </w:r>
      <w:r>
        <w:rPr>
          <w:rFonts w:hint="eastAsia"/>
          <w:sz w:val="32"/>
          <w:szCs w:val="32"/>
          <w:lang w:val="en-US" w:eastAsia="zh-CN"/>
        </w:rPr>
        <w:t>8</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2、部门整体支出绩效自评表</w:t>
      </w:r>
      <w:r>
        <w:rPr>
          <w:rFonts w:hint="eastAsia" w:eastAsia="仿宋_GB2312"/>
          <w:sz w:val="32"/>
          <w:szCs w:val="32"/>
        </w:rPr>
        <w:t>（P</w:t>
      </w:r>
      <w:r>
        <w:rPr>
          <w:rFonts w:hint="eastAsia"/>
          <w:sz w:val="32"/>
          <w:szCs w:val="32"/>
          <w:lang w:val="en-US" w:eastAsia="zh-CN"/>
        </w:rPr>
        <w:t>9</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3、项目支出绩效自评表</w:t>
      </w:r>
      <w:r>
        <w:rPr>
          <w:rFonts w:hint="eastAsia" w:eastAsia="仿宋_GB2312"/>
          <w:sz w:val="32"/>
          <w:szCs w:val="32"/>
        </w:rPr>
        <w:t>（P</w:t>
      </w:r>
      <w:r>
        <w:rPr>
          <w:rFonts w:hint="eastAsia"/>
          <w:sz w:val="32"/>
          <w:szCs w:val="32"/>
          <w:lang w:val="en-US" w:eastAsia="zh-CN"/>
        </w:rPr>
        <w:t>10</w:t>
      </w:r>
      <w:r>
        <w:rPr>
          <w:rFonts w:hint="eastAsia" w:eastAsia="仿宋_GB2312"/>
          <w:sz w:val="32"/>
          <w:szCs w:val="32"/>
        </w:rPr>
        <w:t>）</w:t>
      </w:r>
      <w:r>
        <w:rPr>
          <w:rFonts w:eastAsia="仿宋_GB2312"/>
          <w:sz w:val="32"/>
          <w:szCs w:val="32"/>
        </w:rPr>
        <w:t>（每个一级项目支出一张表）</w:t>
      </w:r>
    </w:p>
    <w:p>
      <w:pPr>
        <w:spacing w:line="600" w:lineRule="exact"/>
        <w:ind w:firstLine="640" w:firstLineChars="200"/>
        <w:rPr>
          <w:rFonts w:eastAsia="仿宋_GB2312"/>
          <w:sz w:val="32"/>
          <w:szCs w:val="32"/>
        </w:rPr>
      </w:pPr>
      <w:r>
        <w:rPr>
          <w:rFonts w:eastAsia="仿宋_GB2312"/>
          <w:sz w:val="32"/>
          <w:szCs w:val="32"/>
        </w:rPr>
        <w:t>4、政府性基金预算支出情况表</w:t>
      </w:r>
      <w:r>
        <w:rPr>
          <w:rFonts w:hint="eastAsia" w:eastAsia="仿宋_GB2312"/>
          <w:sz w:val="32"/>
          <w:szCs w:val="32"/>
        </w:rPr>
        <w:t>（该表与当年部门预决算公开保持一致）</w:t>
      </w:r>
    </w:p>
    <w:p>
      <w:pPr>
        <w:spacing w:line="600" w:lineRule="exact"/>
        <w:ind w:firstLine="640" w:firstLineChars="200"/>
        <w:rPr>
          <w:rFonts w:eastAsia="仿宋_GB2312"/>
          <w:sz w:val="32"/>
          <w:szCs w:val="32"/>
        </w:rPr>
      </w:pPr>
      <w:r>
        <w:rPr>
          <w:rFonts w:eastAsia="仿宋_GB2312"/>
          <w:sz w:val="32"/>
          <w:szCs w:val="32"/>
        </w:rPr>
        <w:t>5、国有资本经营预算支出情况表</w:t>
      </w:r>
      <w:r>
        <w:rPr>
          <w:rFonts w:hint="eastAsia" w:eastAsia="仿宋_GB2312"/>
          <w:sz w:val="32"/>
          <w:szCs w:val="32"/>
        </w:rPr>
        <w:t>（该表与当年部门预决算公开保持一致）</w:t>
      </w:r>
    </w:p>
    <w:p>
      <w:pPr>
        <w:spacing w:line="600" w:lineRule="exact"/>
        <w:ind w:firstLine="640" w:firstLineChars="200"/>
        <w:rPr>
          <w:rFonts w:eastAsia="仿宋_GB2312"/>
          <w:sz w:val="32"/>
          <w:szCs w:val="32"/>
        </w:rPr>
      </w:pPr>
      <w:r>
        <w:rPr>
          <w:rFonts w:eastAsia="仿宋_GB2312"/>
          <w:sz w:val="32"/>
          <w:szCs w:val="32"/>
        </w:rPr>
        <w:t>6、社会保险基金预算支出情况表</w:t>
      </w:r>
      <w:r>
        <w:rPr>
          <w:rFonts w:hint="eastAsia" w:eastAsia="仿宋_GB2312"/>
          <w:sz w:val="32"/>
          <w:szCs w:val="32"/>
        </w:rPr>
        <w:t>（该表与当年部门预决算公开保持一致）</w:t>
      </w:r>
    </w:p>
    <w:p>
      <w:pPr>
        <w:spacing w:line="600" w:lineRule="exact"/>
        <w:rPr>
          <w:rFonts w:eastAsia="仿宋_GB2312"/>
          <w:kern w:val="0"/>
          <w:sz w:val="32"/>
          <w:szCs w:val="32"/>
        </w:rPr>
      </w:pPr>
    </w:p>
    <w:p>
      <w:pPr>
        <w:widowControl/>
        <w:jc w:val="left"/>
        <w:rPr>
          <w:rFonts w:hint="eastAsia" w:eastAsia="黑体"/>
          <w:sz w:val="32"/>
          <w:szCs w:val="32"/>
          <w:lang w:eastAsia="zh-CN"/>
        </w:rPr>
      </w:pPr>
      <w:r>
        <w:rPr>
          <w:rFonts w:eastAsia="黑体"/>
          <w:sz w:val="32"/>
          <w:szCs w:val="32"/>
        </w:rPr>
        <w:br w:type="page"/>
      </w:r>
      <w:r>
        <w:rPr>
          <w:rFonts w:eastAsia="黑体"/>
          <w:sz w:val="32"/>
          <w:szCs w:val="32"/>
        </w:rPr>
        <w:t>附件</w:t>
      </w:r>
      <w:r>
        <w:rPr>
          <w:rFonts w:hint="eastAsia" w:eastAsia="黑体"/>
          <w:sz w:val="32"/>
          <w:szCs w:val="32"/>
          <w:lang w:val="en-US" w:eastAsia="zh-CN"/>
        </w:rPr>
        <w:t>2</w:t>
      </w:r>
    </w:p>
    <w:p>
      <w:pPr>
        <w:spacing w:line="560" w:lineRule="exact"/>
        <w:jc w:val="center"/>
        <w:outlineLvl w:val="0"/>
        <w:rPr>
          <w:rFonts w:eastAsia="方正小标宋_GBK"/>
          <w:kern w:val="0"/>
          <w:sz w:val="36"/>
          <w:szCs w:val="36"/>
        </w:rPr>
      </w:pPr>
      <w:r>
        <w:rPr>
          <w:rFonts w:hint="eastAsia" w:eastAsia="方正小标宋_GBK"/>
          <w:kern w:val="0"/>
          <w:sz w:val="36"/>
          <w:szCs w:val="36"/>
          <w:lang w:val="en-US" w:eastAsia="zh-CN"/>
        </w:rPr>
        <w:t>2022年度</w:t>
      </w:r>
      <w:r>
        <w:rPr>
          <w:rFonts w:eastAsia="方正小标宋_GBK"/>
          <w:kern w:val="0"/>
          <w:sz w:val="36"/>
          <w:szCs w:val="36"/>
        </w:rPr>
        <w:t>部门整体支出绩效评价基础数据表</w:t>
      </w:r>
    </w:p>
    <w:tbl>
      <w:tblPr>
        <w:tblStyle w:val="7"/>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2"/>
        <w:gridCol w:w="992"/>
        <w:gridCol w:w="992"/>
        <w:gridCol w:w="1134"/>
        <w:gridCol w:w="992"/>
        <w:gridCol w:w="993"/>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062" w:type="dxa"/>
            <w:vMerge w:val="restart"/>
            <w:noWrap w:val="0"/>
            <w:vAlign w:val="center"/>
          </w:tcPr>
          <w:p>
            <w:pPr>
              <w:widowControl/>
              <w:jc w:val="center"/>
              <w:rPr>
                <w:rFonts w:eastAsia="仿宋_GB2312"/>
                <w:kern w:val="0"/>
                <w:sz w:val="21"/>
                <w:szCs w:val="21"/>
              </w:rPr>
            </w:pPr>
            <w:r>
              <w:rPr>
                <w:rFonts w:eastAsia="仿宋_GB2312"/>
                <w:kern w:val="0"/>
                <w:sz w:val="21"/>
                <w:szCs w:val="21"/>
              </w:rPr>
              <w:t>财政供养人员情况</w:t>
            </w:r>
          </w:p>
        </w:tc>
        <w:tc>
          <w:tcPr>
            <w:tcW w:w="1984"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编制数</w:t>
            </w:r>
          </w:p>
        </w:tc>
        <w:tc>
          <w:tcPr>
            <w:tcW w:w="212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年实际在职人数</w:t>
            </w:r>
          </w:p>
        </w:tc>
        <w:tc>
          <w:tcPr>
            <w:tcW w:w="2292"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控制率</w:t>
            </w:r>
            <w:r>
              <w:rPr>
                <w:rFonts w:hint="eastAsia" w:eastAsia="仿宋_GB2312"/>
                <w:b/>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dxa"/>
            <w:vMerge w:val="continue"/>
            <w:noWrap w:val="0"/>
            <w:vAlign w:val="center"/>
          </w:tcPr>
          <w:p>
            <w:pPr>
              <w:widowControl/>
              <w:jc w:val="left"/>
              <w:rPr>
                <w:rFonts w:eastAsia="仿宋_GB2312"/>
                <w:kern w:val="0"/>
                <w:sz w:val="21"/>
                <w:szCs w:val="21"/>
              </w:rPr>
            </w:pPr>
          </w:p>
        </w:tc>
        <w:tc>
          <w:tcPr>
            <w:tcW w:w="1984"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14</w:t>
            </w:r>
          </w:p>
        </w:tc>
        <w:tc>
          <w:tcPr>
            <w:tcW w:w="2126"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12</w:t>
            </w:r>
          </w:p>
        </w:tc>
        <w:tc>
          <w:tcPr>
            <w:tcW w:w="2292" w:type="dxa"/>
            <w:gridSpan w:val="2"/>
            <w:noWrap w:val="0"/>
            <w:vAlign w:val="center"/>
          </w:tcPr>
          <w:p>
            <w:pPr>
              <w:widowControl/>
              <w:wordWrap w:val="0"/>
              <w:jc w:val="center"/>
              <w:rPr>
                <w:rFonts w:hint="default" w:eastAsia="仿宋_GB2312"/>
                <w:kern w:val="0"/>
                <w:sz w:val="21"/>
                <w:szCs w:val="21"/>
                <w:lang w:val="en-US" w:eastAsia="zh-CN"/>
              </w:rPr>
            </w:pPr>
            <w:r>
              <w:rPr>
                <w:rFonts w:hint="eastAsia"/>
                <w:kern w:val="0"/>
                <w:sz w:val="21"/>
                <w:szCs w:val="21"/>
                <w:lang w:val="en-US" w:eastAsia="zh-CN"/>
              </w:rPr>
              <w:t>85.71%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3062" w:type="dxa"/>
            <w:noWrap w:val="0"/>
            <w:vAlign w:val="center"/>
          </w:tcPr>
          <w:p>
            <w:pPr>
              <w:widowControl/>
              <w:jc w:val="center"/>
              <w:rPr>
                <w:rFonts w:eastAsia="仿宋_GB2312"/>
                <w:kern w:val="0"/>
                <w:sz w:val="21"/>
                <w:szCs w:val="21"/>
              </w:rPr>
            </w:pPr>
            <w:r>
              <w:rPr>
                <w:rFonts w:eastAsia="仿宋_GB2312"/>
                <w:kern w:val="0"/>
                <w:sz w:val="21"/>
                <w:szCs w:val="21"/>
              </w:rPr>
              <w:t>经费控制情况</w:t>
            </w:r>
          </w:p>
        </w:tc>
        <w:tc>
          <w:tcPr>
            <w:tcW w:w="1984"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1</w:t>
            </w:r>
            <w:r>
              <w:rPr>
                <w:rFonts w:eastAsia="仿宋_GB2312"/>
                <w:b/>
                <w:bCs/>
                <w:kern w:val="0"/>
                <w:sz w:val="21"/>
                <w:szCs w:val="21"/>
              </w:rPr>
              <w:t>年决算数</w:t>
            </w:r>
          </w:p>
        </w:tc>
        <w:tc>
          <w:tcPr>
            <w:tcW w:w="212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年预算数</w:t>
            </w:r>
          </w:p>
        </w:tc>
        <w:tc>
          <w:tcPr>
            <w:tcW w:w="2292"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三公经费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0.5</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1、公务用车购置和维护经费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其中：公车购置</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公车运行维护</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2、出国经费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3、公务接待</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0.5</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项目支出：</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153.75</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24.60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58.23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1、业务工作经费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133.95</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hint="eastAsia" w:ascii="Times New Roman" w:hAnsi="Times New Roman" w:eastAsia="仿宋_GB2312" w:cs="Times New Roman"/>
                <w:kern w:val="0"/>
                <w:sz w:val="21"/>
                <w:szCs w:val="21"/>
                <w:lang w:val="en-US" w:eastAsia="zh-CN"/>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2、运行维护经费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hint="eastAsia" w:ascii="Times New Roman" w:hAnsi="Times New Roman" w:cs="Times New Roman"/>
                <w:kern w:val="0"/>
                <w:sz w:val="21"/>
                <w:szCs w:val="21"/>
                <w:lang w:val="en-US" w:eastAsia="zh-CN"/>
              </w:rPr>
              <w:t>12.14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hint="eastAsia" w:eastAsia="仿宋_GB2312"/>
                <w:kern w:val="0"/>
                <w:sz w:val="21"/>
                <w:szCs w:val="21"/>
              </w:rPr>
            </w:pPr>
            <w:r>
              <w:rPr>
                <w:rFonts w:eastAsia="仿宋_GB2312"/>
                <w:kern w:val="0"/>
                <w:sz w:val="21"/>
                <w:szCs w:val="21"/>
              </w:rPr>
              <w:t>3、专项资金</w:t>
            </w:r>
          </w:p>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kern w:val="0"/>
                <w:sz w:val="21"/>
                <w:szCs w:val="21"/>
              </w:rPr>
            </w:pPr>
            <w:r>
              <w:rPr>
                <w:rFonts w:eastAsia="仿宋_GB2312"/>
                <w:kern w:val="0"/>
                <w:sz w:val="21"/>
                <w:szCs w:val="21"/>
              </w:rPr>
              <w:t>（一个专项一行）</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19.80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hint="eastAsia" w:ascii="Times New Roman" w:hAnsi="Times New Roman" w:cs="Times New Roman"/>
                <w:kern w:val="0"/>
                <w:sz w:val="21"/>
                <w:szCs w:val="21"/>
                <w:lang w:val="en-US" w:eastAsia="zh-CN"/>
              </w:rPr>
              <w:t>24.60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kern w:val="0"/>
                <w:szCs w:val="21"/>
                <w:lang w:val="en-US"/>
              </w:rPr>
            </w:pPr>
            <w:r>
              <w:rPr>
                <w:rFonts w:hint="eastAsia" w:ascii="Times New Roman" w:hAnsi="Times New Roman" w:cs="Times New Roman"/>
                <w:kern w:val="0"/>
                <w:sz w:val="21"/>
                <w:szCs w:val="21"/>
                <w:lang w:val="en-US" w:eastAsia="zh-CN"/>
              </w:rPr>
              <w:t>46.09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其中：退休人员、调出人员补缴职业年金</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5.60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卫生计生综合监督执法经费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19.00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2022年双随机监督抽检、健康危害因素监测项目检测费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1"/>
                <w:szCs w:val="21"/>
                <w:lang w:val="en-US" w:eastAsia="zh-CN"/>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kern w:val="0"/>
                <w:sz w:val="21"/>
                <w:szCs w:val="21"/>
                <w:lang w:val="en-US" w:eastAsia="zh-CN"/>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学校及公共场所卫生、饮用水卫生随机监督抽查</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9.80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学校卫生水质检测、托幼机构和校外培训机构的教室采光和照明检测</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10.00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eastAsia="仿宋_GB2312"/>
                <w:kern w:val="0"/>
                <w:sz w:val="21"/>
                <w:szCs w:val="21"/>
              </w:rPr>
            </w:pPr>
            <w:r>
              <w:rPr>
                <w:rFonts w:eastAsia="仿宋_GB2312"/>
                <w:kern w:val="0"/>
                <w:sz w:val="21"/>
                <w:szCs w:val="21"/>
              </w:rPr>
              <w:t>4、其他事业类发展资金</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公用经费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hint="eastAsia"/>
                <w:kern w:val="0"/>
                <w:sz w:val="21"/>
                <w:szCs w:val="21"/>
                <w:lang w:val="en-US" w:eastAsia="zh-CN"/>
              </w:rPr>
              <w:t>26.67</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hint="eastAsia"/>
                <w:kern w:val="0"/>
                <w:sz w:val="21"/>
                <w:szCs w:val="21"/>
                <w:lang w:val="en-US" w:eastAsia="zh-CN"/>
              </w:rPr>
              <w:t>42.04</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kern w:val="0"/>
                <w:sz w:val="21"/>
                <w:szCs w:val="21"/>
                <w:lang w:val="en-US" w:eastAsia="zh-CN"/>
              </w:rPr>
            </w:pPr>
            <w:r>
              <w:rPr>
                <w:rFonts w:hint="eastAsia"/>
                <w:kern w:val="0"/>
                <w:sz w:val="21"/>
                <w:szCs w:val="21"/>
                <w:lang w:val="en-US" w:eastAsia="zh-CN"/>
              </w:rPr>
              <w:t>41.30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其中：办公费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9.03</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auto"/>
                <w:kern w:val="0"/>
                <w:sz w:val="21"/>
                <w:szCs w:val="21"/>
                <w:lang w:val="en-US" w:eastAsia="zh-CN"/>
              </w:rPr>
            </w:pPr>
            <w:r>
              <w:rPr>
                <w:rFonts w:hint="eastAsia"/>
                <w:color w:val="auto"/>
                <w:kern w:val="0"/>
                <w:sz w:val="21"/>
                <w:szCs w:val="21"/>
                <w:lang w:val="en-US" w:eastAsia="zh-CN"/>
              </w:rPr>
              <w:t>15</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auto"/>
                <w:kern w:val="0"/>
                <w:sz w:val="21"/>
                <w:szCs w:val="21"/>
                <w:lang w:val="en-US" w:eastAsia="zh-CN"/>
              </w:rPr>
            </w:pPr>
            <w:r>
              <w:rPr>
                <w:rFonts w:hint="eastAsia"/>
                <w:color w:val="auto"/>
                <w:kern w:val="0"/>
                <w:sz w:val="21"/>
                <w:szCs w:val="21"/>
                <w:lang w:val="en-US" w:eastAsia="zh-CN"/>
              </w:rPr>
              <w:t>19.69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水费、电费、差旅费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1</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auto"/>
                <w:kern w:val="0"/>
                <w:sz w:val="21"/>
                <w:szCs w:val="21"/>
                <w:lang w:val="en-US" w:eastAsia="zh-CN"/>
              </w:rPr>
            </w:pPr>
            <w:r>
              <w:rPr>
                <w:rFonts w:hint="eastAsia"/>
                <w:color w:val="auto"/>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会议费、培训费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auto"/>
                <w:kern w:val="0"/>
                <w:sz w:val="21"/>
                <w:szCs w:val="21"/>
                <w:lang w:val="en-US" w:eastAsia="zh-CN"/>
              </w:rPr>
            </w:pPr>
            <w:r>
              <w:rPr>
                <w:rFonts w:hint="eastAsia"/>
                <w:color w:val="auto"/>
                <w:kern w:val="0"/>
                <w:sz w:val="21"/>
                <w:szCs w:val="21"/>
                <w:lang w:val="en-US" w:eastAsia="zh-CN"/>
              </w:rPr>
              <w:t>0</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auto"/>
                <w:kern w:val="0"/>
                <w:sz w:val="21"/>
                <w:szCs w:val="21"/>
                <w:lang w:val="en-US" w:eastAsia="zh-CN"/>
              </w:rPr>
            </w:pPr>
            <w:r>
              <w:rPr>
                <w:rFonts w:hint="eastAsia"/>
                <w:color w:val="auto"/>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政府采购金额</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hint="eastAsia"/>
                <w:kern w:val="0"/>
                <w:sz w:val="21"/>
                <w:szCs w:val="21"/>
                <w:lang w:val="en-US" w:eastAsia="zh-CN"/>
              </w:rPr>
              <w:t>0</w:t>
            </w:r>
            <w:r>
              <w:rPr>
                <w:rFonts w:eastAsia="仿宋_GB2312"/>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hint="eastAsia"/>
                <w:kern w:val="0"/>
                <w:sz w:val="21"/>
                <w:szCs w:val="21"/>
                <w:lang w:val="en-US" w:eastAsia="zh-CN"/>
              </w:rPr>
              <w:t>0</w:t>
            </w:r>
            <w:r>
              <w:rPr>
                <w:rFonts w:eastAsia="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062" w:type="dxa"/>
            <w:noWrap w:val="0"/>
            <w:vAlign w:val="center"/>
          </w:tcPr>
          <w:p>
            <w:pPr>
              <w:widowControl/>
              <w:jc w:val="left"/>
              <w:rPr>
                <w:rFonts w:eastAsia="仿宋_GB2312"/>
                <w:kern w:val="0"/>
                <w:sz w:val="21"/>
                <w:szCs w:val="21"/>
              </w:rPr>
            </w:pPr>
            <w:r>
              <w:rPr>
                <w:rFonts w:eastAsia="仿宋_GB2312"/>
                <w:kern w:val="0"/>
                <w:sz w:val="21"/>
                <w:szCs w:val="21"/>
              </w:rPr>
              <w:t xml:space="preserve">部门基本支出预算调整 </w:t>
            </w:r>
          </w:p>
        </w:tc>
        <w:tc>
          <w:tcPr>
            <w:tcW w:w="1984" w:type="dxa"/>
            <w:gridSpan w:val="2"/>
            <w:noWrap w:val="0"/>
            <w:vAlign w:val="center"/>
          </w:tcPr>
          <w:p>
            <w:pPr>
              <w:widowControl/>
              <w:jc w:val="center"/>
              <w:rPr>
                <w:rFonts w:eastAsia="仿宋_GB2312"/>
                <w:kern w:val="0"/>
                <w:sz w:val="21"/>
                <w:szCs w:val="21"/>
              </w:rPr>
            </w:pPr>
            <w:r>
              <w:rPr>
                <w:rFonts w:eastAsia="仿宋_GB2312"/>
                <w:kern w:val="0"/>
                <w:sz w:val="21"/>
                <w:szCs w:val="21"/>
              </w:rPr>
              <w:t>——</w:t>
            </w:r>
          </w:p>
        </w:tc>
        <w:tc>
          <w:tcPr>
            <w:tcW w:w="2126" w:type="dxa"/>
            <w:gridSpan w:val="2"/>
            <w:noWrap w:val="0"/>
            <w:vAlign w:val="center"/>
          </w:tcPr>
          <w:p>
            <w:pPr>
              <w:widowControl/>
              <w:jc w:val="center"/>
              <w:rPr>
                <w:rFonts w:hint="default" w:eastAsia="仿宋_GB2312"/>
                <w:kern w:val="0"/>
                <w:sz w:val="21"/>
                <w:szCs w:val="21"/>
                <w:lang w:val="en-US"/>
              </w:rPr>
            </w:pPr>
            <w:r>
              <w:rPr>
                <w:rFonts w:hint="eastAsia"/>
                <w:kern w:val="0"/>
                <w:sz w:val="21"/>
                <w:szCs w:val="21"/>
                <w:lang w:val="en-US" w:eastAsia="zh-CN"/>
              </w:rPr>
              <w:t>545.02</w:t>
            </w:r>
          </w:p>
        </w:tc>
        <w:tc>
          <w:tcPr>
            <w:tcW w:w="2292" w:type="dxa"/>
            <w:gridSpan w:val="2"/>
            <w:noWrap w:val="0"/>
            <w:vAlign w:val="center"/>
          </w:tcPr>
          <w:p>
            <w:pPr>
              <w:widowControl/>
              <w:jc w:val="center"/>
              <w:rPr>
                <w:rFonts w:hint="default" w:eastAsia="仿宋_GB2312"/>
                <w:kern w:val="0"/>
                <w:sz w:val="21"/>
                <w:szCs w:val="21"/>
                <w:lang w:val="en-US"/>
              </w:rPr>
            </w:pPr>
            <w:r>
              <w:rPr>
                <w:rFonts w:hint="eastAsia"/>
                <w:kern w:val="0"/>
                <w:sz w:val="21"/>
                <w:szCs w:val="21"/>
                <w:lang w:val="en-US" w:eastAsia="zh-CN"/>
              </w:rPr>
              <w:t>571.92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062" w:type="dxa"/>
            <w:vMerge w:val="restart"/>
            <w:noWrap w:val="0"/>
            <w:vAlign w:val="center"/>
          </w:tcPr>
          <w:p>
            <w:pPr>
              <w:widowControl/>
              <w:jc w:val="center"/>
              <w:rPr>
                <w:rFonts w:eastAsia="仿宋_GB2312"/>
                <w:kern w:val="0"/>
                <w:sz w:val="21"/>
                <w:szCs w:val="21"/>
              </w:rPr>
            </w:pPr>
            <w:r>
              <w:rPr>
                <w:rFonts w:eastAsia="仿宋_GB2312"/>
                <w:kern w:val="0"/>
                <w:sz w:val="21"/>
                <w:szCs w:val="21"/>
              </w:rPr>
              <w:t>楼堂馆所控制情况</w:t>
            </w:r>
            <w:r>
              <w:rPr>
                <w:rFonts w:eastAsia="仿宋_GB2312"/>
                <w:kern w:val="0"/>
                <w:sz w:val="21"/>
                <w:szCs w:val="21"/>
              </w:rPr>
              <w:br w:type="textWrapping"/>
            </w:r>
            <w:r>
              <w:rPr>
                <w:rFonts w:eastAsia="仿宋_GB2312"/>
                <w:kern w:val="0"/>
                <w:sz w:val="21"/>
                <w:szCs w:val="21"/>
              </w:rPr>
              <w:t>（20</w:t>
            </w:r>
            <w:r>
              <w:rPr>
                <w:rFonts w:hint="eastAsia" w:eastAsia="仿宋_GB2312"/>
                <w:kern w:val="0"/>
                <w:sz w:val="21"/>
                <w:szCs w:val="21"/>
              </w:rPr>
              <w:t>2</w:t>
            </w:r>
            <w:r>
              <w:rPr>
                <w:rFonts w:hint="eastAsia"/>
                <w:kern w:val="0"/>
                <w:sz w:val="21"/>
                <w:szCs w:val="21"/>
                <w:lang w:val="en-US" w:eastAsia="zh-CN"/>
              </w:rPr>
              <w:t>2</w:t>
            </w:r>
            <w:r>
              <w:rPr>
                <w:rFonts w:eastAsia="仿宋_GB2312"/>
                <w:kern w:val="0"/>
                <w:sz w:val="21"/>
                <w:szCs w:val="21"/>
              </w:rPr>
              <w:t>年完工项目）</w:t>
            </w:r>
          </w:p>
        </w:tc>
        <w:tc>
          <w:tcPr>
            <w:tcW w:w="992"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批复规模（</w:t>
            </w:r>
            <w:r>
              <w:rPr>
                <w:rFonts w:eastAsia="Batang"/>
                <w:bCs/>
                <w:kern w:val="0"/>
                <w:sz w:val="21"/>
                <w:szCs w:val="21"/>
              </w:rPr>
              <w:t>㎡</w:t>
            </w:r>
            <w:r>
              <w:rPr>
                <w:rFonts w:eastAsia="仿宋_GB2312"/>
                <w:bCs/>
                <w:kern w:val="0"/>
                <w:sz w:val="21"/>
                <w:szCs w:val="21"/>
              </w:rPr>
              <w:t>）</w:t>
            </w:r>
          </w:p>
        </w:tc>
        <w:tc>
          <w:tcPr>
            <w:tcW w:w="992"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实际规模（</w:t>
            </w:r>
            <w:r>
              <w:rPr>
                <w:rFonts w:eastAsia="Batang"/>
                <w:bCs/>
                <w:kern w:val="0"/>
                <w:sz w:val="21"/>
                <w:szCs w:val="21"/>
              </w:rPr>
              <w:t>㎡</w:t>
            </w:r>
            <w:r>
              <w:rPr>
                <w:rFonts w:eastAsia="仿宋_GB2312"/>
                <w:bCs/>
                <w:kern w:val="0"/>
                <w:sz w:val="21"/>
                <w:szCs w:val="21"/>
              </w:rPr>
              <w:t>）</w:t>
            </w:r>
          </w:p>
        </w:tc>
        <w:tc>
          <w:tcPr>
            <w:tcW w:w="1134" w:type="dxa"/>
            <w:noWrap w:val="0"/>
            <w:vAlign w:val="center"/>
          </w:tcPr>
          <w:p>
            <w:pPr>
              <w:widowControl/>
              <w:spacing w:line="240" w:lineRule="exact"/>
              <w:rPr>
                <w:rFonts w:eastAsia="仿宋_GB2312"/>
                <w:bCs/>
                <w:kern w:val="0"/>
                <w:sz w:val="21"/>
                <w:szCs w:val="21"/>
              </w:rPr>
            </w:pPr>
            <w:r>
              <w:rPr>
                <w:rFonts w:eastAsia="仿宋_GB2312"/>
                <w:bCs/>
                <w:kern w:val="0"/>
                <w:sz w:val="21"/>
                <w:szCs w:val="21"/>
              </w:rPr>
              <w:t>规模控制率</w:t>
            </w:r>
            <w:r>
              <w:rPr>
                <w:rFonts w:hint="eastAsia" w:eastAsia="仿宋_GB2312"/>
                <w:bCs/>
                <w:kern w:val="0"/>
                <w:sz w:val="21"/>
                <w:szCs w:val="21"/>
              </w:rPr>
              <w:t>（理想值≤1）</w:t>
            </w:r>
          </w:p>
        </w:tc>
        <w:tc>
          <w:tcPr>
            <w:tcW w:w="992"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预算投资（万元）</w:t>
            </w:r>
          </w:p>
        </w:tc>
        <w:tc>
          <w:tcPr>
            <w:tcW w:w="993"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实际投资（万元）</w:t>
            </w:r>
          </w:p>
        </w:tc>
        <w:tc>
          <w:tcPr>
            <w:tcW w:w="1299" w:type="dxa"/>
            <w:noWrap w:val="0"/>
            <w:vAlign w:val="center"/>
          </w:tcPr>
          <w:p>
            <w:pPr>
              <w:widowControl/>
              <w:spacing w:line="240" w:lineRule="exact"/>
              <w:rPr>
                <w:rFonts w:eastAsia="仿宋_GB2312"/>
                <w:bCs/>
                <w:kern w:val="0"/>
                <w:sz w:val="21"/>
                <w:szCs w:val="21"/>
              </w:rPr>
            </w:pPr>
            <w:r>
              <w:rPr>
                <w:rFonts w:eastAsia="仿宋_GB2312"/>
                <w:bCs/>
                <w:kern w:val="0"/>
                <w:sz w:val="21"/>
                <w:szCs w:val="21"/>
              </w:rPr>
              <w:t>投资概算控制率</w:t>
            </w:r>
            <w:r>
              <w:rPr>
                <w:rFonts w:hint="eastAsia" w:eastAsia="仿宋_GB2312"/>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2" w:type="dxa"/>
            <w:vMerge w:val="continue"/>
            <w:noWrap w:val="0"/>
            <w:vAlign w:val="center"/>
          </w:tcPr>
          <w:p>
            <w:pPr>
              <w:widowControl/>
              <w:jc w:val="left"/>
              <w:rPr>
                <w:rFonts w:eastAsia="仿宋_GB2312"/>
                <w:kern w:val="0"/>
                <w:sz w:val="21"/>
                <w:szCs w:val="21"/>
              </w:rPr>
            </w:pPr>
          </w:p>
        </w:tc>
        <w:tc>
          <w:tcPr>
            <w:tcW w:w="992" w:type="dxa"/>
            <w:noWrap w:val="0"/>
            <w:vAlign w:val="center"/>
          </w:tcPr>
          <w:p>
            <w:pPr>
              <w:widowControl/>
              <w:jc w:val="center"/>
              <w:rPr>
                <w:rFonts w:eastAsia="仿宋_GB2312"/>
                <w:kern w:val="0"/>
                <w:sz w:val="21"/>
                <w:szCs w:val="21"/>
              </w:rPr>
            </w:pPr>
            <w:r>
              <w:rPr>
                <w:rFonts w:hint="eastAsia"/>
                <w:kern w:val="0"/>
                <w:sz w:val="21"/>
                <w:szCs w:val="21"/>
                <w:lang w:val="en-US" w:eastAsia="zh-CN"/>
              </w:rPr>
              <w:t>0</w:t>
            </w:r>
          </w:p>
        </w:tc>
        <w:tc>
          <w:tcPr>
            <w:tcW w:w="992" w:type="dxa"/>
            <w:noWrap w:val="0"/>
            <w:vAlign w:val="center"/>
          </w:tcPr>
          <w:p>
            <w:pPr>
              <w:widowControl/>
              <w:tabs>
                <w:tab w:val="center" w:pos="388"/>
              </w:tabs>
              <w:jc w:val="center"/>
              <w:rPr>
                <w:rFonts w:hint="default" w:eastAsia="仿宋_GB2312"/>
                <w:kern w:val="0"/>
                <w:sz w:val="21"/>
                <w:szCs w:val="21"/>
                <w:lang w:val="en-US" w:eastAsia="zh-CN"/>
              </w:rPr>
            </w:pPr>
            <w:r>
              <w:rPr>
                <w:rFonts w:hint="eastAsia"/>
                <w:kern w:val="0"/>
                <w:sz w:val="21"/>
                <w:szCs w:val="21"/>
                <w:lang w:val="en-US" w:eastAsia="zh-CN"/>
              </w:rPr>
              <w:t>0</w:t>
            </w:r>
          </w:p>
        </w:tc>
        <w:tc>
          <w:tcPr>
            <w:tcW w:w="1134" w:type="dxa"/>
            <w:noWrap w:val="0"/>
            <w:vAlign w:val="center"/>
          </w:tcPr>
          <w:p>
            <w:pPr>
              <w:widowControl/>
              <w:wordWrap w:val="0"/>
              <w:jc w:val="center"/>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实际规模</w:t>
            </w:r>
            <w:r>
              <w:rPr>
                <w:rFonts w:hint="eastAsia" w:eastAsia="仿宋_GB2312"/>
                <w:kern w:val="0"/>
                <w:sz w:val="21"/>
                <w:szCs w:val="21"/>
              </w:rPr>
              <w:t>/</w:t>
            </w:r>
            <w:r>
              <w:rPr>
                <w:rFonts w:eastAsia="仿宋_GB2312"/>
                <w:bCs/>
                <w:kern w:val="0"/>
                <w:sz w:val="21"/>
                <w:szCs w:val="21"/>
              </w:rPr>
              <w:t>批复规模</w:t>
            </w:r>
            <w:r>
              <w:rPr>
                <w:rFonts w:hint="eastAsia" w:eastAsia="仿宋_GB2312"/>
                <w:kern w:val="0"/>
                <w:sz w:val="21"/>
                <w:szCs w:val="21"/>
              </w:rPr>
              <w:t>×100%</w:t>
            </w:r>
          </w:p>
        </w:tc>
        <w:tc>
          <w:tcPr>
            <w:tcW w:w="992" w:type="dxa"/>
            <w:noWrap w:val="0"/>
            <w:vAlign w:val="center"/>
          </w:tcPr>
          <w:p>
            <w:pPr>
              <w:widowControl/>
              <w:jc w:val="center"/>
              <w:rPr>
                <w:rFonts w:hint="eastAsia" w:eastAsia="仿宋_GB2312"/>
                <w:kern w:val="0"/>
                <w:sz w:val="21"/>
                <w:szCs w:val="21"/>
                <w:lang w:val="en-US" w:eastAsia="zh-CN"/>
              </w:rPr>
            </w:pPr>
            <w:r>
              <w:rPr>
                <w:rFonts w:hint="eastAsia"/>
                <w:kern w:val="0"/>
                <w:sz w:val="21"/>
                <w:szCs w:val="21"/>
                <w:lang w:val="en-US" w:eastAsia="zh-CN"/>
              </w:rPr>
              <w:t>0</w:t>
            </w:r>
          </w:p>
        </w:tc>
        <w:tc>
          <w:tcPr>
            <w:tcW w:w="993" w:type="dxa"/>
            <w:noWrap w:val="0"/>
            <w:vAlign w:val="center"/>
          </w:tcPr>
          <w:p>
            <w:pPr>
              <w:widowControl/>
              <w:jc w:val="center"/>
              <w:rPr>
                <w:rFonts w:hint="eastAsia" w:eastAsia="仿宋_GB2312"/>
                <w:kern w:val="0"/>
                <w:sz w:val="21"/>
                <w:szCs w:val="21"/>
                <w:lang w:val="en-US" w:eastAsia="zh-CN"/>
              </w:rPr>
            </w:pPr>
            <w:r>
              <w:rPr>
                <w:rFonts w:hint="eastAsia"/>
                <w:kern w:val="0"/>
                <w:sz w:val="21"/>
                <w:szCs w:val="21"/>
                <w:lang w:val="en-US" w:eastAsia="zh-CN"/>
              </w:rPr>
              <w:t>0</w:t>
            </w:r>
          </w:p>
        </w:tc>
        <w:tc>
          <w:tcPr>
            <w:tcW w:w="1299" w:type="dxa"/>
            <w:noWrap w:val="0"/>
            <w:vAlign w:val="center"/>
          </w:tcPr>
          <w:p>
            <w:pPr>
              <w:widowControl/>
              <w:jc w:val="left"/>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实际投资</w:t>
            </w:r>
            <w:r>
              <w:rPr>
                <w:rFonts w:hint="eastAsia" w:eastAsia="仿宋_GB2312"/>
                <w:kern w:val="0"/>
                <w:sz w:val="21"/>
                <w:szCs w:val="21"/>
              </w:rPr>
              <w:t>/</w:t>
            </w:r>
            <w:r>
              <w:rPr>
                <w:rFonts w:eastAsia="仿宋_GB2312"/>
                <w:bCs/>
                <w:kern w:val="0"/>
                <w:sz w:val="21"/>
                <w:szCs w:val="21"/>
              </w:rPr>
              <w:t>预算投资</w:t>
            </w:r>
            <w:r>
              <w:rPr>
                <w:rFonts w:hint="eastAsia" w:eastAsia="仿宋_GB2312"/>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062" w:type="dxa"/>
            <w:noWrap w:val="0"/>
            <w:vAlign w:val="center"/>
          </w:tcPr>
          <w:p>
            <w:pPr>
              <w:widowControl/>
              <w:jc w:val="center"/>
              <w:rPr>
                <w:rFonts w:eastAsia="仿宋_GB2312"/>
                <w:kern w:val="0"/>
                <w:sz w:val="21"/>
                <w:szCs w:val="21"/>
              </w:rPr>
            </w:pPr>
            <w:r>
              <w:rPr>
                <w:rFonts w:eastAsia="仿宋_GB2312"/>
                <w:kern w:val="0"/>
                <w:sz w:val="21"/>
                <w:szCs w:val="21"/>
              </w:rPr>
              <w:t>厉行节约保障措施</w:t>
            </w:r>
          </w:p>
        </w:tc>
        <w:tc>
          <w:tcPr>
            <w:tcW w:w="6402" w:type="dxa"/>
            <w:gridSpan w:val="6"/>
            <w:noWrap w:val="0"/>
            <w:vAlign w:val="center"/>
          </w:tcPr>
          <w:p>
            <w:pPr>
              <w:widowControl/>
              <w:jc w:val="center"/>
              <w:rPr>
                <w:rFonts w:eastAsia="仿宋_GB2312"/>
                <w:kern w:val="0"/>
                <w:sz w:val="21"/>
                <w:szCs w:val="21"/>
              </w:rPr>
            </w:pPr>
            <w:r>
              <w:rPr>
                <w:rFonts w:hint="eastAsia" w:ascii="仿宋_GB2312" w:hAnsi="仿宋_GB2312" w:cs="仿宋_GB2312"/>
                <w:kern w:val="0"/>
                <w:sz w:val="24"/>
                <w:szCs w:val="24"/>
                <w:lang w:val="en-US" w:eastAsia="zh-CN"/>
              </w:rPr>
              <w:t>严控"三公”经费支出，从严从紧用好财政资金，压减非重点、非刚性支出。　</w:t>
            </w:r>
            <w:r>
              <w:rPr>
                <w:rFonts w:eastAsia="仿宋_GB2312"/>
                <w:kern w:val="0"/>
                <w:sz w:val="21"/>
                <w:szCs w:val="21"/>
              </w:rPr>
              <w:t>　</w:t>
            </w:r>
          </w:p>
        </w:tc>
      </w:tr>
    </w:tbl>
    <w:p>
      <w:pPr>
        <w:spacing w:line="360" w:lineRule="exact"/>
        <w:rPr>
          <w:rFonts w:hint="eastAsia" w:eastAsia="黑体"/>
          <w:sz w:val="32"/>
          <w:szCs w:val="32"/>
          <w:lang w:eastAsia="zh-CN"/>
        </w:rPr>
      </w:pPr>
      <w:r>
        <w:rPr>
          <w:rFonts w:eastAsia="仿宋_GB2312"/>
          <w:kern w:val="0"/>
          <w:sz w:val="22"/>
        </w:rPr>
        <w:t>说明：“项目支出”需要填报基本支出以外的所有项目支出情况，“公用经费”填报基本支出中的一般商品和服务支出。</w:t>
      </w:r>
      <w:r>
        <w:rPr>
          <w:rFonts w:eastAsia="仿宋_GB2312"/>
          <w:kern w:val="0"/>
          <w:sz w:val="22"/>
        </w:rPr>
        <w:br w:type="page"/>
      </w:r>
      <w:r>
        <w:rPr>
          <w:rFonts w:eastAsia="黑体"/>
          <w:sz w:val="32"/>
          <w:szCs w:val="32"/>
        </w:rPr>
        <w:t>附件</w:t>
      </w:r>
      <w:r>
        <w:rPr>
          <w:rFonts w:hint="eastAsia" w:eastAsia="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部门整体支出绩效自评表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7"/>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1393"/>
        <w:gridCol w:w="1072"/>
        <w:gridCol w:w="1074"/>
        <w:gridCol w:w="390"/>
        <w:gridCol w:w="882"/>
        <w:gridCol w:w="851"/>
        <w:gridCol w:w="706"/>
        <w:gridCol w:w="1642"/>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7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区</w:t>
            </w:r>
            <w:r>
              <w:rPr>
                <w:rFonts w:eastAsia="仿宋_GB2312"/>
                <w:color w:val="000000"/>
                <w:kern w:val="0"/>
                <w:sz w:val="21"/>
                <w:szCs w:val="21"/>
              </w:rPr>
              <w:t>级预算部门名称</w:t>
            </w:r>
          </w:p>
        </w:tc>
        <w:tc>
          <w:tcPr>
            <w:tcW w:w="9245" w:type="dxa"/>
            <w:gridSpan w:val="9"/>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长沙市开福区卫生计生综合监督执法局</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算申请</w:t>
            </w:r>
            <w:r>
              <w:rPr>
                <w:rFonts w:eastAsia="仿宋_GB2312"/>
                <w:color w:val="000000"/>
                <w:kern w:val="0"/>
                <w:sz w:val="21"/>
                <w:szCs w:val="21"/>
              </w:rPr>
              <w:br w:type="textWrapping"/>
            </w:r>
            <w:r>
              <w:rPr>
                <w:rFonts w:eastAsia="仿宋_GB2312"/>
                <w:color w:val="000000"/>
                <w:kern w:val="0"/>
                <w:sz w:val="21"/>
                <w:szCs w:val="21"/>
              </w:rPr>
              <w:t>（万元）</w:t>
            </w:r>
          </w:p>
        </w:tc>
        <w:tc>
          <w:tcPr>
            <w:tcW w:w="2465" w:type="dxa"/>
            <w:gridSpan w:val="2"/>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p>
        </w:tc>
        <w:tc>
          <w:tcPr>
            <w:tcW w:w="107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年初</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预算数</w:t>
            </w:r>
          </w:p>
        </w:tc>
        <w:tc>
          <w:tcPr>
            <w:tcW w:w="1272"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全年预算数</w:t>
            </w:r>
            <w:r>
              <w:rPr>
                <w:rFonts w:hint="eastAsia" w:eastAsia="仿宋_GB2312"/>
                <w:sz w:val="21"/>
                <w:szCs w:val="21"/>
              </w:rPr>
              <w:t>（含当年预算调整数）</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6"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64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3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246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color w:val="000000"/>
                <w:kern w:val="0"/>
                <w:sz w:val="21"/>
                <w:szCs w:val="21"/>
              </w:rPr>
              <w:t>年度资金总额</w:t>
            </w:r>
          </w:p>
        </w:tc>
        <w:tc>
          <w:tcPr>
            <w:tcW w:w="107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545.02</w:t>
            </w:r>
          </w:p>
        </w:tc>
        <w:tc>
          <w:tcPr>
            <w:tcW w:w="1272"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589.30</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571.92</w:t>
            </w:r>
          </w:p>
        </w:tc>
        <w:tc>
          <w:tcPr>
            <w:tcW w:w="706"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10</w:t>
            </w:r>
          </w:p>
        </w:tc>
        <w:tc>
          <w:tcPr>
            <w:tcW w:w="164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kern w:val="0"/>
                <w:sz w:val="21"/>
                <w:szCs w:val="21"/>
                <w:lang w:val="en-US" w:eastAsia="zh-CN"/>
              </w:rPr>
              <w:t>97%</w:t>
            </w:r>
          </w:p>
        </w:tc>
        <w:tc>
          <w:tcPr>
            <w:tcW w:w="123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kern w:val="0"/>
                <w:sz w:val="21"/>
                <w:szCs w:val="21"/>
                <w:lang w:val="en-US" w:eastAsia="zh-CN"/>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11"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按收入性质分：</w:t>
            </w:r>
          </w:p>
        </w:tc>
        <w:tc>
          <w:tcPr>
            <w:tcW w:w="443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11"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xml:space="preserve">  其中：  一般公共预算：</w:t>
            </w:r>
            <w:r>
              <w:rPr>
                <w:rFonts w:hint="eastAsia"/>
                <w:sz w:val="21"/>
                <w:szCs w:val="21"/>
                <w:lang w:val="en-US" w:eastAsia="zh-CN"/>
              </w:rPr>
              <w:t>571.92</w:t>
            </w:r>
          </w:p>
        </w:tc>
        <w:tc>
          <w:tcPr>
            <w:tcW w:w="443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其中：基本支出：</w:t>
            </w:r>
            <w:r>
              <w:rPr>
                <w:rFonts w:hint="eastAsia"/>
                <w:color w:val="000000"/>
                <w:kern w:val="0"/>
                <w:sz w:val="21"/>
                <w:szCs w:val="21"/>
                <w:lang w:val="en-US" w:eastAsia="zh-CN"/>
              </w:rPr>
              <w:t>513.69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11"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840" w:firstLineChars="400"/>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政府性基金拨款：</w:t>
            </w:r>
            <w:r>
              <w:rPr>
                <w:rFonts w:hint="eastAsia"/>
                <w:color w:val="000000"/>
                <w:kern w:val="0"/>
                <w:sz w:val="21"/>
                <w:szCs w:val="21"/>
                <w:lang w:val="en-US" w:eastAsia="zh-CN"/>
              </w:rPr>
              <w:t>0</w:t>
            </w:r>
          </w:p>
        </w:tc>
        <w:tc>
          <w:tcPr>
            <w:tcW w:w="443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项目支出：</w:t>
            </w:r>
            <w:r>
              <w:rPr>
                <w:rFonts w:hint="eastAsia"/>
                <w:color w:val="000000"/>
                <w:kern w:val="0"/>
                <w:sz w:val="21"/>
                <w:szCs w:val="21"/>
                <w:lang w:val="en-US" w:eastAsia="zh-CN"/>
              </w:rPr>
              <w:t>58.23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11"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纳入专户管理的非税收入拨款：</w:t>
            </w:r>
            <w:r>
              <w:rPr>
                <w:rFonts w:hint="eastAsia"/>
                <w:color w:val="000000"/>
                <w:kern w:val="0"/>
                <w:sz w:val="21"/>
                <w:szCs w:val="21"/>
                <w:lang w:val="en-US" w:eastAsia="zh-CN"/>
              </w:rPr>
              <w:t>0</w:t>
            </w:r>
          </w:p>
        </w:tc>
        <w:tc>
          <w:tcPr>
            <w:tcW w:w="443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11"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470" w:firstLineChars="700"/>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其他资金：</w:t>
            </w:r>
            <w:r>
              <w:rPr>
                <w:rFonts w:hint="eastAsia"/>
                <w:color w:val="000000"/>
                <w:kern w:val="0"/>
                <w:sz w:val="21"/>
                <w:szCs w:val="21"/>
                <w:lang w:val="en-US" w:eastAsia="zh-CN"/>
              </w:rPr>
              <w:t>0</w:t>
            </w:r>
          </w:p>
        </w:tc>
        <w:tc>
          <w:tcPr>
            <w:tcW w:w="443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811"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43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11"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一是</w:t>
            </w:r>
            <w:r>
              <w:rPr>
                <w:rFonts w:hint="eastAsia" w:eastAsia="仿宋_GB2312"/>
                <w:color w:val="000000"/>
                <w:kern w:val="0"/>
                <w:sz w:val="21"/>
                <w:szCs w:val="21"/>
              </w:rPr>
              <w:t>实行条块结合，对全区1259家监管对象按地域划分综合监督执法</w:t>
            </w:r>
            <w:r>
              <w:rPr>
                <w:rFonts w:hint="eastAsia"/>
                <w:color w:val="000000"/>
                <w:kern w:val="0"/>
                <w:sz w:val="21"/>
                <w:szCs w:val="21"/>
                <w:lang w:eastAsia="zh-CN"/>
              </w:rPr>
              <w:t>；</w:t>
            </w:r>
            <w:r>
              <w:rPr>
                <w:rFonts w:hint="eastAsia"/>
                <w:color w:val="000000"/>
                <w:kern w:val="0"/>
                <w:sz w:val="21"/>
                <w:szCs w:val="21"/>
                <w:lang w:val="en-US" w:eastAsia="zh-CN"/>
              </w:rPr>
              <w:t>二是开展管理相对人各类培训会5场；三是对全区94家住宿场所开展专项监督，对全区43家公共场所、医疗机构、生活饮用水单位、消毒产品经营和使用单位开展控烟专项督查行动；四是执行国家双随机任务100家，根据省市任务增加抽取执行任务40家。</w:t>
            </w:r>
          </w:p>
        </w:tc>
        <w:tc>
          <w:tcPr>
            <w:tcW w:w="443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对全区1259家监管对象按地域划分综合监督执法，其中公共场所单位350家、二次供水单位75家、医疗机构467家、学校及幼儿园246家、放射诊疗单位58家、母婴保健服务机构19家、职业卫生用人单位42家、餐具饮具集中消毒2家</w:t>
            </w:r>
            <w:r>
              <w:rPr>
                <w:rFonts w:hint="eastAsia"/>
                <w:color w:val="000000"/>
                <w:kern w:val="0"/>
                <w:sz w:val="21"/>
                <w:szCs w:val="21"/>
                <w:lang w:eastAsia="zh-CN"/>
              </w:rPr>
              <w:t>。每年执法业务经费人均不少于1.5万元，共组织10批90人次卫生监督员参加省、市、区培训，同时积极开展管理相对人各类培训会5场，参训940余人次。对全区94家住宿场所开展专项监督，责令整改20家，立案查处1起，罚款600元；对43家游泳场馆全覆盖监督和抽样检测，责令整改16家，立案处罚9家，已结案9家，共计罚款24500元；对48家自建房相关经营单位公共场所进行卫生检查，停业整顿3家，责令整改37家，立案0家；协同区文明办、区卫健局对全区开展控烟专项督查行动，共督查公共场所、医疗机构、生活饮用水单位、消毒产品经营和使用单位等共43家，责令限期整改4家，立案3家，罚款150元；对350家公共场所进行量化分级评定，五类经营性公共场所量化率均达100%，共计评定A级单位3家，B级单位32家，C级单位315家。积极开展双随机及危害因素随机抽检工作。执行国家双随机任务100家，监督完成96家，任务关闭4家，监督完成率100%，完成率96%，完结率100%；立案数12起，均为简易程序，罚款合计1100元；根据省市任务增加抽取执行任务40家，均按照要求完成监督抽检任务，立案5起，其中一般程序2起，简易程序3起，共计罚款23400元。主动扩大双随机抽检范围，扩检64家监督单位，包含48家医疗机构、10家公共场所、6家二次供水单位；检测内容包含医疗污水、医护人员手卫生、医疗器械消毒情况检测，公共场所空气、空调、布草检测等内容。积极开展健康危害因素抽检工作，随机抽取12家学校、10家托幼机构、10家校外培训机构及10家二次供水单位进行危害因素检测，确保群众身体健康和生命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3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7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35" w:type="dxa"/>
            <w:noWrap w:val="0"/>
            <w:vAlign w:val="top"/>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lang w:val="en-US" w:eastAsia="zh-CN"/>
              </w:rPr>
              <w:t>重点工作完成</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3个</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3个</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卫生监管范围</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全区覆盖</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全区覆盖</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重点工作完成率</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卫生监管覆盖率</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资金使用及时率</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97%</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7</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成本节约率</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eastAsia="仿宋_GB2312"/>
                <w:color w:val="000000"/>
                <w:kern w:val="0"/>
                <w:sz w:val="21"/>
                <w:szCs w:val="21"/>
              </w:rPr>
            </w:pPr>
            <w:r>
              <w:rPr>
                <w:rFonts w:eastAsia="仿宋_GB2312"/>
                <w:color w:val="000000"/>
                <w:kern w:val="0"/>
                <w:sz w:val="21"/>
                <w:szCs w:val="21"/>
              </w:rPr>
              <w:t>（30分）　</w:t>
            </w:r>
          </w:p>
        </w:tc>
        <w:tc>
          <w:tcPr>
            <w:tcW w:w="107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工作</w:t>
            </w:r>
            <w:r>
              <w:rPr>
                <w:rFonts w:hint="eastAsia" w:ascii="Times New Roman" w:hAnsi="Times New Roman" w:cs="Times New Roman"/>
                <w:color w:val="000000"/>
                <w:kern w:val="0"/>
                <w:sz w:val="21"/>
                <w:szCs w:val="21"/>
                <w:lang w:val="en-US" w:eastAsia="zh-CN"/>
              </w:rPr>
              <w:t>任务</w:t>
            </w:r>
            <w:r>
              <w:rPr>
                <w:rFonts w:ascii="Times New Roman" w:hAnsi="Times New Roman" w:eastAsia="仿宋_GB2312" w:cs="Times New Roman"/>
                <w:color w:val="000000"/>
                <w:kern w:val="0"/>
                <w:sz w:val="21"/>
                <w:szCs w:val="21"/>
                <w:lang w:val="en-US" w:eastAsia="zh-CN"/>
              </w:rPr>
              <w:t>完成</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全部完成</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全部完成</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履职目标实现</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全部实现</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全部实现</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公共场所</w:t>
            </w:r>
            <w:r>
              <w:rPr>
                <w:rFonts w:hint="eastAsia" w:ascii="Times New Roman" w:hAnsi="Times New Roman" w:cs="Times New Roman"/>
                <w:color w:val="000000"/>
                <w:kern w:val="0"/>
                <w:sz w:val="21"/>
                <w:szCs w:val="21"/>
                <w:lang w:val="en-US" w:eastAsia="zh-CN"/>
              </w:rPr>
              <w:t>、</w:t>
            </w:r>
            <w:r>
              <w:rPr>
                <w:rFonts w:hint="eastAsia" w:ascii="Times New Roman" w:hAnsi="Times New Roman" w:eastAsia="仿宋_GB2312" w:cs="Times New Roman"/>
                <w:color w:val="000000"/>
                <w:kern w:val="0"/>
                <w:sz w:val="21"/>
                <w:szCs w:val="21"/>
                <w:lang w:val="en-US" w:eastAsia="zh-CN"/>
              </w:rPr>
              <w:t>饮用水</w:t>
            </w:r>
            <w:r>
              <w:rPr>
                <w:rFonts w:hint="eastAsia" w:ascii="Times New Roman" w:hAnsi="Times New Roman" w:cs="Times New Roman"/>
                <w:color w:val="000000"/>
                <w:kern w:val="0"/>
                <w:sz w:val="21"/>
                <w:szCs w:val="21"/>
                <w:lang w:val="en-US" w:eastAsia="zh-CN"/>
              </w:rPr>
              <w:t>、</w:t>
            </w:r>
            <w:r>
              <w:rPr>
                <w:rFonts w:hint="eastAsia" w:ascii="Times New Roman" w:hAnsi="Times New Roman" w:eastAsia="仿宋_GB2312" w:cs="Times New Roman"/>
                <w:color w:val="000000"/>
                <w:kern w:val="0"/>
                <w:sz w:val="21"/>
                <w:szCs w:val="21"/>
                <w:lang w:val="en-US" w:eastAsia="zh-CN"/>
              </w:rPr>
              <w:t>学校卫生</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有效维护</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有效维护</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医疗、职业、放射卫生</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有效维护</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有效维护</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可持续影响指标</w:t>
            </w: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39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rPr>
              <w:t>工作人员满意</w:t>
            </w:r>
            <w:r>
              <w:rPr>
                <w:rFonts w:hint="eastAsia" w:ascii="Times New Roman" w:hAnsi="Times New Roman" w:cs="Times New Roman"/>
                <w:color w:val="000000"/>
                <w:kern w:val="0"/>
                <w:sz w:val="21"/>
                <w:szCs w:val="21"/>
                <w:lang w:val="en-US" w:eastAsia="zh-CN"/>
              </w:rPr>
              <w:t>度</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≥90%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39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46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rPr>
              <w:t>社会公众</w:t>
            </w:r>
            <w:r>
              <w:rPr>
                <w:rFonts w:hint="eastAsia" w:ascii="Times New Roman" w:hAnsi="Times New Roman" w:cs="Times New Roman"/>
                <w:color w:val="000000"/>
                <w:kern w:val="0"/>
                <w:sz w:val="21"/>
                <w:szCs w:val="21"/>
                <w:lang w:val="en-US" w:eastAsia="zh-CN"/>
              </w:rPr>
              <w:t>满意度</w:t>
            </w:r>
          </w:p>
        </w:tc>
        <w:tc>
          <w:tcPr>
            <w:tcW w:w="88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≥90%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95%</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5</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40" w:type="dxa"/>
            <w:gridSpan w:val="7"/>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96.70</w:t>
            </w:r>
          </w:p>
        </w:tc>
        <w:tc>
          <w:tcPr>
            <w:tcW w:w="123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widowControl/>
        <w:jc w:val="left"/>
        <w:rPr>
          <w:rFonts w:eastAsia="黑体"/>
          <w:sz w:val="32"/>
          <w:szCs w:val="3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widowControl/>
        <w:jc w:val="left"/>
        <w:rPr>
          <w:rFonts w:hint="default" w:eastAsia="黑体"/>
          <w:sz w:val="32"/>
          <w:szCs w:val="32"/>
          <w:lang w:val="en-US" w:eastAsia="zh-CN"/>
        </w:rPr>
      </w:pPr>
      <w:r>
        <w:rPr>
          <w:rFonts w:eastAsia="黑体"/>
          <w:sz w:val="32"/>
          <w:szCs w:val="32"/>
        </w:rPr>
        <w:br w:type="page"/>
      </w:r>
      <w:r>
        <w:rPr>
          <w:rFonts w:eastAsia="黑体"/>
          <w:sz w:val="32"/>
          <w:szCs w:val="32"/>
        </w:rPr>
        <w:t>附件4</w:t>
      </w:r>
      <w:r>
        <w:rPr>
          <w:rFonts w:hint="eastAsia" w:eastAsia="黑体"/>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7"/>
        <w:tblW w:w="10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95"/>
        <w:gridCol w:w="1585"/>
        <w:gridCol w:w="1200"/>
        <w:gridCol w:w="875"/>
        <w:gridCol w:w="933"/>
        <w:gridCol w:w="1392"/>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9223"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单位运行维护经费</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960"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长沙市开福区卫生计生综合监督执法局</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38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长沙市开福区卫生计生综合监督执法局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87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933"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39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14.88</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12.14</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81.6%</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12.14</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960"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26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960"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按照4</w:t>
            </w:r>
            <w:r>
              <w:rPr>
                <w:rFonts w:hint="eastAsia"/>
                <w:color w:val="000000"/>
                <w:kern w:val="0"/>
                <w:sz w:val="21"/>
                <w:szCs w:val="21"/>
                <w:lang w:val="en-US" w:eastAsia="zh-CN"/>
              </w:rPr>
              <w:t>4</w:t>
            </w:r>
            <w:r>
              <w:rPr>
                <w:rFonts w:hint="eastAsia" w:eastAsia="仿宋_GB2312"/>
                <w:color w:val="000000"/>
                <w:kern w:val="0"/>
                <w:sz w:val="21"/>
                <w:szCs w:val="21"/>
              </w:rPr>
              <w:t>0元/月/人用餐标准补助职工伙食费用</w:t>
            </w:r>
            <w:r>
              <w:rPr>
                <w:rFonts w:hint="eastAsia"/>
                <w:color w:val="000000"/>
                <w:kern w:val="0"/>
                <w:sz w:val="21"/>
                <w:szCs w:val="21"/>
                <w:lang w:eastAsia="zh-CN"/>
              </w:rPr>
              <w:t>，</w:t>
            </w:r>
            <w:r>
              <w:rPr>
                <w:rFonts w:hint="eastAsia"/>
                <w:color w:val="000000"/>
                <w:kern w:val="0"/>
                <w:sz w:val="21"/>
                <w:szCs w:val="21"/>
                <w:lang w:val="en-US" w:eastAsia="zh-CN"/>
              </w:rPr>
              <w:t>按照标准</w:t>
            </w:r>
            <w:r>
              <w:rPr>
                <w:rFonts w:hint="eastAsia"/>
                <w:color w:val="000000"/>
                <w:kern w:val="0"/>
                <w:sz w:val="21"/>
                <w:szCs w:val="21"/>
                <w:lang w:eastAsia="zh-CN"/>
              </w:rPr>
              <w:t>缴纳2021年度残疾人就业保障金。</w:t>
            </w:r>
          </w:p>
        </w:tc>
        <w:tc>
          <w:tcPr>
            <w:tcW w:w="426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做好职工后勤保障，维持工作正常运转。按照4</w:t>
            </w:r>
            <w:r>
              <w:rPr>
                <w:rFonts w:hint="eastAsia"/>
                <w:color w:val="000000"/>
                <w:kern w:val="0"/>
                <w:sz w:val="21"/>
                <w:szCs w:val="21"/>
                <w:lang w:val="en-US" w:eastAsia="zh-CN"/>
              </w:rPr>
              <w:t>4</w:t>
            </w:r>
            <w:r>
              <w:rPr>
                <w:rFonts w:hint="eastAsia" w:eastAsia="仿宋_GB2312"/>
                <w:color w:val="000000"/>
                <w:kern w:val="0"/>
                <w:sz w:val="21"/>
                <w:szCs w:val="21"/>
              </w:rPr>
              <w:t>0元/月/人用餐标准补助职工伙食费用</w:t>
            </w:r>
            <w:r>
              <w:rPr>
                <w:rFonts w:hint="eastAsia"/>
                <w:color w:val="000000"/>
                <w:kern w:val="0"/>
                <w:sz w:val="21"/>
                <w:szCs w:val="21"/>
                <w:lang w:eastAsia="zh-CN"/>
              </w:rPr>
              <w:t>，</w:t>
            </w:r>
            <w:r>
              <w:rPr>
                <w:rFonts w:hint="eastAsia"/>
                <w:color w:val="000000"/>
                <w:kern w:val="0"/>
                <w:sz w:val="21"/>
                <w:szCs w:val="21"/>
                <w:lang w:val="en-US" w:eastAsia="zh-CN"/>
              </w:rPr>
              <w:t>按照标准</w:t>
            </w:r>
            <w:r>
              <w:rPr>
                <w:rFonts w:hint="eastAsia"/>
                <w:color w:val="000000"/>
                <w:kern w:val="0"/>
                <w:sz w:val="21"/>
                <w:szCs w:val="21"/>
                <w:lang w:eastAsia="zh-CN"/>
              </w:rPr>
              <w:t>缴纳2021年度残疾人就业保障金。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残保金</w:t>
            </w:r>
            <w:r>
              <w:rPr>
                <w:rFonts w:ascii="Times New Roman" w:hAnsi="Times New Roman" w:eastAsia="仿宋_GB2312" w:cs="Times New Roman"/>
                <w:color w:val="000000"/>
                <w:kern w:val="0"/>
                <w:sz w:val="21"/>
                <w:szCs w:val="21"/>
                <w:lang w:val="en-US" w:eastAsia="zh-CN"/>
              </w:rPr>
              <w:t>缴纳完成率</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100%</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100%</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伙食补助缴纳完成率</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100%</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100%</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按时缴纳伙食补助</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100%</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100%</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按时缴纳</w:t>
            </w:r>
            <w:r>
              <w:rPr>
                <w:rFonts w:hint="eastAsia" w:cs="Times New Roman"/>
                <w:color w:val="000000"/>
                <w:kern w:val="0"/>
                <w:sz w:val="21"/>
                <w:szCs w:val="21"/>
                <w:lang w:val="en-US" w:eastAsia="zh-CN"/>
              </w:rPr>
              <w:t>残保金</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100%</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100%</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bookmarkStart w:id="0" w:name="_GoBack"/>
            <w:bookmarkEnd w:id="0"/>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残保金缴纳</w:t>
            </w:r>
            <w:r>
              <w:rPr>
                <w:rFonts w:ascii="Times New Roman" w:hAnsi="Times New Roman" w:eastAsia="仿宋_GB2312" w:cs="Times New Roman"/>
                <w:color w:val="000000"/>
                <w:kern w:val="0"/>
                <w:sz w:val="21"/>
                <w:szCs w:val="21"/>
                <w:lang w:val="en-US" w:eastAsia="zh-CN"/>
              </w:rPr>
              <w:t>合规率</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100%</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100%</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保障职工伙食质量</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100%</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100%</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成本节约率</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w:t>
            </w:r>
            <w:r>
              <w:rPr>
                <w:rFonts w:ascii="Times New Roman" w:hAnsi="Times New Roman" w:eastAsia="仿宋_GB2312" w:cs="Times New Roman"/>
                <w:color w:val="000000"/>
                <w:kern w:val="0"/>
                <w:sz w:val="21"/>
                <w:szCs w:val="21"/>
                <w:lang w:val="en-US" w:eastAsia="zh-CN"/>
              </w:rPr>
              <w:t>0</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18.4%</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维持单位工作正常运行</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有效保障</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有效保障</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30</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30</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可持续影响指标</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5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职工满意度</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≥9</w:t>
            </w:r>
            <w:r>
              <w:rPr>
                <w:rFonts w:ascii="Times New Roman" w:hAnsi="Times New Roman" w:eastAsia="仿宋_GB2312" w:cs="Times New Roman"/>
                <w:color w:val="000000"/>
                <w:kern w:val="0"/>
                <w:sz w:val="21"/>
                <w:szCs w:val="21"/>
                <w:lang w:val="en-US" w:eastAsia="zh-CN"/>
              </w:rPr>
              <w:t>0%</w:t>
            </w:r>
          </w:p>
        </w:tc>
        <w:tc>
          <w:tcPr>
            <w:tcW w:w="87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15"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9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3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98.16</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widowControl/>
        <w:jc w:val="left"/>
        <w:rPr>
          <w:rFonts w:hint="default" w:eastAsia="黑体"/>
          <w:sz w:val="32"/>
          <w:szCs w:val="32"/>
          <w:lang w:val="en-US" w:eastAsia="zh-CN"/>
        </w:rPr>
      </w:pPr>
      <w:r>
        <w:rPr>
          <w:rFonts w:eastAsia="黑体"/>
          <w:sz w:val="32"/>
          <w:szCs w:val="32"/>
        </w:rPr>
        <w:t>附件4</w:t>
      </w:r>
      <w:r>
        <w:rPr>
          <w:rFonts w:hint="eastAsia" w:eastAsia="黑体"/>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7"/>
        <w:tblW w:w="10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95"/>
        <w:gridCol w:w="1493"/>
        <w:gridCol w:w="1567"/>
        <w:gridCol w:w="967"/>
        <w:gridCol w:w="741"/>
        <w:gridCol w:w="12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9223"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仿宋" w:hAnsi="仿宋" w:eastAsia="仿宋" w:cs="仿宋"/>
                <w:i w:val="0"/>
                <w:color w:val="000000"/>
                <w:kern w:val="0"/>
                <w:sz w:val="20"/>
                <w:szCs w:val="20"/>
                <w:u w:val="none"/>
                <w:lang w:val="en-US" w:eastAsia="zh-CN" w:bidi="ar"/>
              </w:rPr>
              <w:t>退休人员、调出人员补缴职业年金</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5235"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长沙市开福区卫生计生综合监督执法局</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021"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长沙市开福区卫生计生综合监督执法局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67"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4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20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5.60</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10.20</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9.48</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92.9%</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9.48</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5235"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398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5235"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按照</w:t>
            </w:r>
            <w:r>
              <w:rPr>
                <w:rFonts w:hint="eastAsia"/>
                <w:color w:val="000000"/>
                <w:kern w:val="0"/>
                <w:sz w:val="21"/>
                <w:szCs w:val="21"/>
                <w:lang w:eastAsia="zh-CN"/>
              </w:rPr>
              <w:t>56000元/人</w:t>
            </w:r>
            <w:r>
              <w:rPr>
                <w:rFonts w:hint="eastAsia"/>
                <w:color w:val="000000"/>
                <w:kern w:val="0"/>
                <w:sz w:val="21"/>
                <w:szCs w:val="21"/>
                <w:lang w:val="en-US" w:eastAsia="zh-CN"/>
              </w:rPr>
              <w:t>的职业年金标准补缴退休人员职业年金，并纪实补缴1名调出人员的职业年金。</w:t>
            </w:r>
          </w:p>
        </w:tc>
        <w:tc>
          <w:tcPr>
            <w:tcW w:w="398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根据区养老保险管理信息系统测算职业年金，及时缴纳，确保</w:t>
            </w:r>
            <w:r>
              <w:rPr>
                <w:rFonts w:hint="eastAsia"/>
                <w:color w:val="000000"/>
                <w:kern w:val="0"/>
                <w:sz w:val="21"/>
                <w:szCs w:val="21"/>
                <w:lang w:val="en-US" w:eastAsia="zh-CN"/>
              </w:rPr>
              <w:t>了</w:t>
            </w:r>
            <w:r>
              <w:rPr>
                <w:rFonts w:hint="eastAsia" w:eastAsia="仿宋_GB2312"/>
                <w:color w:val="000000"/>
                <w:kern w:val="0"/>
                <w:sz w:val="21"/>
                <w:szCs w:val="21"/>
              </w:rPr>
              <w:t>退休人员、调出人员补缴职业年金及时到位</w:t>
            </w:r>
            <w:r>
              <w:rPr>
                <w:rFonts w:hint="eastAsia"/>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1"/>
                <w:szCs w:val="21"/>
                <w:lang w:val="en-US" w:eastAsia="zh-CN"/>
              </w:rPr>
            </w:pPr>
            <w:r>
              <w:rPr>
                <w:rFonts w:ascii="Times New Roman" w:hAnsi="Times New Roman" w:eastAsia="仿宋_GB2312" w:cs="Times New Roman"/>
                <w:color w:val="auto"/>
                <w:kern w:val="0"/>
                <w:sz w:val="21"/>
                <w:szCs w:val="21"/>
                <w:lang w:val="en-US" w:eastAsia="zh-CN"/>
              </w:rPr>
              <w:t>2022年退休人数</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1"/>
                <w:szCs w:val="21"/>
                <w:lang w:val="en-US" w:eastAsia="zh-CN"/>
              </w:rPr>
            </w:pPr>
            <w:r>
              <w:rPr>
                <w:rFonts w:ascii="Times New Roman" w:hAnsi="Times New Roman" w:eastAsia="仿宋_GB2312" w:cs="Times New Roman"/>
                <w:color w:val="auto"/>
                <w:kern w:val="0"/>
                <w:sz w:val="21"/>
                <w:szCs w:val="21"/>
                <w:lang w:val="en-US" w:eastAsia="zh-CN"/>
              </w:rPr>
              <w:t>1人</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1"/>
                <w:szCs w:val="21"/>
                <w:lang w:val="en-US" w:eastAsia="zh-CN" w:bidi="ar-SA"/>
              </w:rPr>
            </w:pPr>
            <w:r>
              <w:rPr>
                <w:rFonts w:ascii="Times New Roman" w:hAnsi="Times New Roman" w:eastAsia="仿宋_GB2312" w:cs="Times New Roman"/>
                <w:color w:val="auto"/>
                <w:kern w:val="0"/>
                <w:sz w:val="21"/>
                <w:szCs w:val="21"/>
                <w:lang w:val="en-US" w:eastAsia="zh-CN"/>
              </w:rPr>
              <w:t>1人</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1"/>
                <w:szCs w:val="21"/>
              </w:rPr>
            </w:pPr>
            <w:r>
              <w:rPr>
                <w:rFonts w:ascii="Times New Roman" w:hAnsi="Times New Roman" w:eastAsia="仿宋_GB2312" w:cs="Times New Roman"/>
                <w:color w:val="auto"/>
                <w:kern w:val="0"/>
                <w:sz w:val="21"/>
                <w:szCs w:val="21"/>
                <w:lang w:val="en-US" w:eastAsia="zh-CN"/>
              </w:rPr>
              <w:t>2022年</w:t>
            </w:r>
            <w:r>
              <w:rPr>
                <w:rFonts w:hint="eastAsia" w:cs="Times New Roman"/>
                <w:color w:val="auto"/>
                <w:kern w:val="0"/>
                <w:sz w:val="21"/>
                <w:szCs w:val="21"/>
                <w:lang w:val="en-US" w:eastAsia="zh-CN"/>
              </w:rPr>
              <w:t>调出</w:t>
            </w:r>
            <w:r>
              <w:rPr>
                <w:rFonts w:ascii="Times New Roman" w:hAnsi="Times New Roman" w:eastAsia="仿宋_GB2312" w:cs="Times New Roman"/>
                <w:color w:val="auto"/>
                <w:kern w:val="0"/>
                <w:sz w:val="21"/>
                <w:szCs w:val="21"/>
                <w:lang w:val="en-US" w:eastAsia="zh-CN"/>
              </w:rPr>
              <w:t>人数</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1"/>
                <w:szCs w:val="21"/>
                <w:lang w:val="en-US" w:eastAsia="zh-CN" w:bidi="ar-SA"/>
              </w:rPr>
            </w:pPr>
            <w:r>
              <w:rPr>
                <w:rFonts w:ascii="Times New Roman" w:hAnsi="Times New Roman" w:eastAsia="仿宋_GB2312" w:cs="Times New Roman"/>
                <w:color w:val="auto"/>
                <w:kern w:val="0"/>
                <w:sz w:val="21"/>
                <w:szCs w:val="21"/>
                <w:lang w:val="en-US" w:eastAsia="zh-CN"/>
              </w:rPr>
              <w:t>1人</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1"/>
                <w:szCs w:val="21"/>
                <w:lang w:val="en-US" w:eastAsia="zh-CN" w:bidi="ar-SA"/>
              </w:rPr>
            </w:pPr>
            <w:r>
              <w:rPr>
                <w:rFonts w:ascii="Times New Roman" w:hAnsi="Times New Roman" w:eastAsia="仿宋_GB2312" w:cs="Times New Roman"/>
                <w:color w:val="auto"/>
                <w:kern w:val="0"/>
                <w:sz w:val="21"/>
                <w:szCs w:val="21"/>
                <w:lang w:val="en-US" w:eastAsia="zh-CN"/>
              </w:rPr>
              <w:t>1人</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资金发放合规率</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100%</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100%</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资金发放及时率</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100%</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100%</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2022年退休人员职业年金补缴</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根据区养老保险管理信息系统测算</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rPr>
              <w:t>系统测算</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2022年</w:t>
            </w:r>
            <w:r>
              <w:rPr>
                <w:rFonts w:hint="eastAsia" w:cs="Times New Roman"/>
                <w:color w:val="000000"/>
                <w:kern w:val="0"/>
                <w:sz w:val="21"/>
                <w:szCs w:val="21"/>
                <w:lang w:val="en-US" w:eastAsia="zh-CN"/>
              </w:rPr>
              <w:t>调出</w:t>
            </w:r>
            <w:r>
              <w:rPr>
                <w:rFonts w:ascii="Times New Roman" w:hAnsi="Times New Roman" w:eastAsia="仿宋_GB2312" w:cs="Times New Roman"/>
                <w:color w:val="000000"/>
                <w:kern w:val="0"/>
                <w:sz w:val="21"/>
                <w:szCs w:val="21"/>
                <w:lang w:val="en-US" w:eastAsia="zh-CN"/>
              </w:rPr>
              <w:t>人员职业年金补缴</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根据区养老保险管理信息系统测算</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rPr>
              <w:t>系统测算</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退休人员正常退休</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职业年金及时缴纳，确保退休人员退休费及时发放到位。</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发放到位</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调出人员正常缴纳职业年金</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lang w:val="en-US" w:eastAsia="zh-CN"/>
              </w:rPr>
              <w:t>职业年金及时缴纳，确保</w:t>
            </w:r>
            <w:r>
              <w:rPr>
                <w:rFonts w:hint="eastAsia" w:cs="Times New Roman"/>
                <w:color w:val="000000"/>
                <w:kern w:val="0"/>
                <w:sz w:val="21"/>
                <w:szCs w:val="21"/>
                <w:lang w:val="en-US" w:eastAsia="zh-CN"/>
              </w:rPr>
              <w:t>调出</w:t>
            </w:r>
            <w:r>
              <w:rPr>
                <w:rFonts w:ascii="Times New Roman" w:hAnsi="Times New Roman" w:eastAsia="仿宋_GB2312" w:cs="Times New Roman"/>
                <w:color w:val="000000"/>
                <w:kern w:val="0"/>
                <w:sz w:val="21"/>
                <w:szCs w:val="21"/>
                <w:lang w:val="en-US" w:eastAsia="zh-CN"/>
              </w:rPr>
              <w:t>人员</w:t>
            </w:r>
            <w:r>
              <w:rPr>
                <w:rFonts w:hint="eastAsia" w:cs="Times New Roman"/>
                <w:color w:val="000000"/>
                <w:kern w:val="0"/>
                <w:sz w:val="21"/>
                <w:szCs w:val="21"/>
                <w:lang w:val="en-US" w:eastAsia="zh-CN"/>
              </w:rPr>
              <w:t>职业年金</w:t>
            </w:r>
            <w:r>
              <w:rPr>
                <w:rFonts w:ascii="Times New Roman" w:hAnsi="Times New Roman" w:eastAsia="仿宋_GB2312" w:cs="Times New Roman"/>
                <w:color w:val="000000"/>
                <w:kern w:val="0"/>
                <w:sz w:val="21"/>
                <w:szCs w:val="21"/>
                <w:lang w:val="en-US" w:eastAsia="zh-CN"/>
              </w:rPr>
              <w:t>及时发放到位。</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发放到位</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可持续影响指标</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个人满意度</w:t>
            </w:r>
          </w:p>
        </w:tc>
        <w:tc>
          <w:tcPr>
            <w:tcW w:w="15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hint="eastAsia"/>
                <w:color w:val="000000"/>
                <w:kern w:val="0"/>
                <w:sz w:val="21"/>
                <w:szCs w:val="21"/>
                <w:lang w:val="en-US" w:eastAsia="zh-CN"/>
              </w:rPr>
              <w:t>＞90%</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2"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FF0000"/>
                <w:kern w:val="0"/>
                <w:sz w:val="21"/>
                <w:szCs w:val="21"/>
                <w:lang w:val="en-US" w:eastAsia="zh-CN"/>
              </w:rPr>
            </w:pPr>
            <w:r>
              <w:rPr>
                <w:rFonts w:hint="eastAsia"/>
                <w:color w:val="auto"/>
                <w:kern w:val="0"/>
                <w:sz w:val="21"/>
                <w:szCs w:val="21"/>
                <w:lang w:val="en-US" w:eastAsia="zh-CN"/>
              </w:rPr>
              <w:t>99.29</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FF0000"/>
                <w:kern w:val="0"/>
                <w:sz w:val="21"/>
                <w:szCs w:val="21"/>
              </w:rPr>
            </w:pPr>
            <w:r>
              <w:rPr>
                <w:rFonts w:eastAsia="仿宋_GB2312"/>
                <w:color w:val="FF0000"/>
                <w:kern w:val="0"/>
                <w:sz w:val="21"/>
                <w:szCs w:val="21"/>
              </w:rPr>
              <w:t>　</w:t>
            </w:r>
          </w:p>
        </w:tc>
      </w:tr>
    </w:tbl>
    <w:p>
      <w:pPr>
        <w:widowControl/>
        <w:jc w:val="left"/>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widowControl/>
        <w:jc w:val="left"/>
        <w:rPr>
          <w:rFonts w:hint="default" w:eastAsia="黑体"/>
          <w:sz w:val="32"/>
          <w:szCs w:val="32"/>
          <w:lang w:val="en-US" w:eastAsia="zh-CN"/>
        </w:rPr>
      </w:pPr>
      <w:r>
        <w:rPr>
          <w:rFonts w:eastAsia="黑体"/>
          <w:sz w:val="32"/>
          <w:szCs w:val="32"/>
        </w:rPr>
        <w:t>附件4</w:t>
      </w:r>
      <w:r>
        <w:rPr>
          <w:rFonts w:hint="eastAsia" w:eastAsia="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7"/>
        <w:tblW w:w="10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95"/>
        <w:gridCol w:w="1502"/>
        <w:gridCol w:w="1441"/>
        <w:gridCol w:w="1084"/>
        <w:gridCol w:w="658"/>
        <w:gridCol w:w="1233"/>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9223"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卫生计生综合监督执法经费</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511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长沙市开福区卫生计生综合监督执法局</w:t>
            </w: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021"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长沙市开福区卫生计生综合监督执法局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08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658"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233"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13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19</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19</w:t>
            </w: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17.45</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91.8%</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17.45</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511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105"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511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eastAsia="zh-CN"/>
              </w:rPr>
              <w:t>对于公共场所、二次供水抽检、职业卫生、放射卫生、采供血机构</w:t>
            </w:r>
            <w:r>
              <w:rPr>
                <w:rFonts w:hint="eastAsia"/>
                <w:color w:val="000000"/>
                <w:kern w:val="0"/>
                <w:sz w:val="21"/>
                <w:szCs w:val="21"/>
                <w:lang w:val="en-US" w:eastAsia="zh-CN"/>
              </w:rPr>
              <w:t>监督执法</w:t>
            </w:r>
            <w:r>
              <w:rPr>
                <w:rFonts w:hint="eastAsia" w:eastAsia="仿宋_GB2312"/>
                <w:color w:val="000000"/>
                <w:kern w:val="0"/>
                <w:sz w:val="21"/>
                <w:szCs w:val="21"/>
                <w:lang w:eastAsia="zh-CN"/>
              </w:rPr>
              <w:t>监督覆盖率达到</w:t>
            </w:r>
            <w:r>
              <w:rPr>
                <w:rFonts w:hint="eastAsia"/>
                <w:color w:val="000000"/>
                <w:kern w:val="0"/>
                <w:sz w:val="21"/>
                <w:szCs w:val="21"/>
                <w:lang w:val="en-US" w:eastAsia="zh-CN"/>
              </w:rPr>
              <w:t>100%.</w:t>
            </w:r>
          </w:p>
        </w:tc>
        <w:tc>
          <w:tcPr>
            <w:tcW w:w="4105"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val="en-US" w:eastAsia="zh-CN"/>
              </w:rPr>
              <w:t xml:space="preserve"> 一是</w:t>
            </w:r>
            <w:r>
              <w:rPr>
                <w:rFonts w:hint="eastAsia" w:eastAsia="仿宋_GB2312"/>
                <w:color w:val="000000"/>
                <w:kern w:val="0"/>
                <w:sz w:val="21"/>
                <w:szCs w:val="21"/>
              </w:rPr>
              <w:t>提高效能，建立卫监大数据。有效利用“长沙智慧卫监系统”，实行在线监督检测、移动执法、执法全过程记录等，明确专职信息员，及时录入监管信息，打造卫监互联网。</w:t>
            </w:r>
            <w:r>
              <w:rPr>
                <w:rFonts w:hint="eastAsia"/>
                <w:color w:val="000000"/>
                <w:kern w:val="0"/>
                <w:sz w:val="21"/>
                <w:szCs w:val="21"/>
                <w:lang w:val="en-US" w:eastAsia="zh-CN"/>
              </w:rPr>
              <w:t>二</w:t>
            </w:r>
            <w:r>
              <w:rPr>
                <w:rFonts w:hint="eastAsia" w:eastAsia="仿宋_GB2312"/>
                <w:color w:val="000000"/>
                <w:kern w:val="0"/>
                <w:sz w:val="21"/>
                <w:szCs w:val="21"/>
              </w:rPr>
              <w:t>是加大培训，提高多方面能力。我局每年执法业务经费人均不少于1.5万元，共组织10批90人次卫生监督员参加省、市、区培训，同时积极开展管理相对人各类培训会5场，参训940余人次。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执法次数</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w:t>
            </w:r>
            <w:r>
              <w:rPr>
                <w:rFonts w:ascii="Times New Roman" w:hAnsi="Times New Roman" w:eastAsia="仿宋_GB2312" w:cs="Times New Roman"/>
                <w:color w:val="000000"/>
                <w:kern w:val="0"/>
                <w:sz w:val="21"/>
                <w:szCs w:val="21"/>
                <w:lang w:val="en-US" w:eastAsia="zh-CN"/>
              </w:rPr>
              <w:t>2500次</w:t>
            </w: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w:t>
            </w:r>
            <w:r>
              <w:rPr>
                <w:rFonts w:ascii="Times New Roman" w:hAnsi="Times New Roman" w:eastAsia="仿宋_GB2312" w:cs="Times New Roman"/>
                <w:color w:val="000000"/>
                <w:kern w:val="0"/>
                <w:sz w:val="21"/>
                <w:szCs w:val="21"/>
                <w:lang w:val="en-US" w:eastAsia="zh-CN"/>
              </w:rPr>
              <w:t>2500次</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20</w:t>
            </w: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20</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执法覆盖率</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100%</w:t>
            </w: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100%</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使用及时率</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100%</w:t>
            </w: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100%</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卫生计生综合监督执法经费</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hint="eastAsia" w:cs="Times New Roman"/>
                <w:color w:val="000000"/>
                <w:kern w:val="0"/>
                <w:sz w:val="21"/>
                <w:szCs w:val="21"/>
                <w:lang w:val="en-US" w:eastAsia="zh-CN"/>
              </w:rPr>
              <w:t>19</w:t>
            </w:r>
            <w:r>
              <w:rPr>
                <w:rFonts w:ascii="Times New Roman" w:hAnsi="Times New Roman" w:eastAsia="仿宋_GB2312" w:cs="Times New Roman"/>
                <w:color w:val="000000"/>
                <w:kern w:val="0"/>
                <w:sz w:val="21"/>
                <w:szCs w:val="21"/>
                <w:lang w:val="en-US" w:eastAsia="zh-CN"/>
              </w:rPr>
              <w:t>万/年</w:t>
            </w: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17.45</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9.18</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工作完成度</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100%</w:t>
            </w: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lang w:val="en-US" w:eastAsia="zh-CN"/>
              </w:rPr>
              <w:t>100%</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30</w:t>
            </w: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30</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可持续影响指标</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5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lang w:val="en-US" w:eastAsia="zh-CN"/>
              </w:rPr>
              <w:t>本年度无投诉、无举报</w:t>
            </w:r>
          </w:p>
        </w:tc>
        <w:tc>
          <w:tcPr>
            <w:tcW w:w="144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w:t>
            </w:r>
            <w:r>
              <w:rPr>
                <w:rFonts w:ascii="Times New Roman" w:hAnsi="Times New Roman" w:eastAsia="仿宋_GB2312" w:cs="Times New Roman"/>
                <w:color w:val="000000"/>
                <w:kern w:val="0"/>
                <w:sz w:val="21"/>
                <w:szCs w:val="21"/>
                <w:lang w:val="en-US" w:eastAsia="zh-CN"/>
              </w:rPr>
              <w:t>90%</w:t>
            </w:r>
          </w:p>
        </w:tc>
        <w:tc>
          <w:tcPr>
            <w:tcW w:w="10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100%</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w:t>
            </w: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2"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23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98.36</w:t>
            </w:r>
          </w:p>
        </w:tc>
        <w:tc>
          <w:tcPr>
            <w:tcW w:w="113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eastAsia="仿宋_GB2312"/>
          <w:kern w:val="0"/>
          <w:sz w:val="22"/>
        </w:rPr>
      </w:pPr>
    </w:p>
    <w:p>
      <w:pPr>
        <w:widowControl/>
        <w:jc w:val="left"/>
        <w:rPr>
          <w:rFonts w:eastAsia="黑体"/>
          <w:sz w:val="32"/>
          <w:szCs w:val="32"/>
        </w:rPr>
      </w:pPr>
    </w:p>
    <w:p>
      <w:pPr>
        <w:widowControl/>
        <w:jc w:val="left"/>
        <w:rPr>
          <w:rFonts w:hint="default" w:eastAsia="黑体"/>
          <w:sz w:val="32"/>
          <w:szCs w:val="32"/>
          <w:lang w:val="en-US" w:eastAsia="zh-CN"/>
        </w:rPr>
      </w:pPr>
      <w:r>
        <w:rPr>
          <w:rFonts w:eastAsia="黑体"/>
          <w:sz w:val="32"/>
          <w:szCs w:val="32"/>
        </w:rPr>
        <w:t>附件4</w:t>
      </w:r>
      <w:r>
        <w:rPr>
          <w:rFonts w:hint="eastAsia"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7"/>
        <w:tblW w:w="10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63"/>
        <w:gridCol w:w="1534"/>
        <w:gridCol w:w="1291"/>
        <w:gridCol w:w="1092"/>
        <w:gridCol w:w="658"/>
        <w:gridCol w:w="1342"/>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9223"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2022年双随机监督抽检、健康危害因素监测项目检测费</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96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长沙市开福区卫生计生综合监督执法局</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163"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长沙市开福区卫生计生综合监督执法局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4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09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658"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34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25.74</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19.16</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74.4%</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19.16</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4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96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255"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96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执行国家双随机任务100家，根据省市任务增加抽取执行任务40家，按照要求完成监督抽检任务，主动扩大双随机抽检范围，扩检64家监督单位</w:t>
            </w:r>
            <w:r>
              <w:rPr>
                <w:rFonts w:hint="eastAsia"/>
                <w:color w:val="000000"/>
                <w:kern w:val="0"/>
                <w:sz w:val="21"/>
                <w:szCs w:val="21"/>
                <w:lang w:eastAsia="zh-CN"/>
              </w:rPr>
              <w:t>。</w:t>
            </w:r>
          </w:p>
        </w:tc>
        <w:tc>
          <w:tcPr>
            <w:tcW w:w="4255"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val="en-US" w:eastAsia="zh-CN"/>
              </w:rPr>
              <w:t xml:space="preserve"> </w:t>
            </w:r>
            <w:r>
              <w:rPr>
                <w:rFonts w:hint="eastAsia" w:eastAsia="仿宋_GB2312"/>
                <w:color w:val="000000"/>
                <w:kern w:val="0"/>
                <w:sz w:val="21"/>
                <w:szCs w:val="21"/>
              </w:rPr>
              <w:t>全面开展医疗执业及传染病防治工作。结合新冠疫情防控、扫黑除恶专项行动和打击医疗欺诈专项整治，共立案32起，结案30起</w:t>
            </w:r>
            <w:r>
              <w:rPr>
                <w:rFonts w:hint="eastAsia"/>
                <w:color w:val="000000"/>
                <w:kern w:val="0"/>
                <w:sz w:val="21"/>
                <w:szCs w:val="21"/>
                <w:lang w:eastAsia="zh-CN"/>
              </w:rPr>
              <w:t>。</w:t>
            </w:r>
            <w:r>
              <w:rPr>
                <w:rFonts w:hint="eastAsia" w:eastAsia="仿宋_GB2312"/>
                <w:color w:val="000000"/>
                <w:kern w:val="0"/>
                <w:sz w:val="21"/>
                <w:szCs w:val="21"/>
              </w:rPr>
              <w:t>持续规范公共场所卫生监督。对全区94家住宿场所开展专项监督，责令整改20家，立案查处1起，罚款600元；委托第三方对10家生活饮用水单位开展“双随机、一公开”抽样检测，检测合格率100%；开展学校（含托幼机构）卫生专项检查，检查学校82家，托幼机构73家。根据国家“双随机”任务，抽取7家学校开展教室采光照明、教室人均面积等监督抽检，并对7家抽检不合格单位立案处罚，督促整改落实到位。执行国家双随机任务100家，监督完成96家，关闭4家，监督完成率100%，完成率96%，完结率100%；根据省市任务增加抽取执行任务40家，均按照要求完成监督抽检任务，主动扩大双随机抽检范围，扩检64家监督单位，完善投诉举报处置流程，实行24小时值班制度，办理投诉举报211起，投诉及时处理率100%，反馈率100%，群众满意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eastAsia="仿宋_GB2312"/>
                <w:color w:val="000000"/>
                <w:kern w:val="0"/>
                <w:sz w:val="21"/>
                <w:szCs w:val="21"/>
              </w:rPr>
              <w:t>执行国家双随机任务</w:t>
            </w:r>
            <w:r>
              <w:rPr>
                <w:rFonts w:hint="eastAsia"/>
                <w:color w:val="000000"/>
                <w:kern w:val="0"/>
                <w:sz w:val="21"/>
                <w:szCs w:val="21"/>
                <w:lang w:val="en-US" w:eastAsia="zh-CN"/>
              </w:rPr>
              <w:t>检测</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100家</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100家</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双随机抽样检测</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48家医疗机构、10家公共场所、6家二次供水单位</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rPr>
              <w:t>48家医疗机构、10家公共场所、6家二次供水单位</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监督</w:t>
            </w:r>
            <w:r>
              <w:rPr>
                <w:rFonts w:hint="eastAsia"/>
                <w:color w:val="000000"/>
                <w:kern w:val="0"/>
                <w:sz w:val="21"/>
                <w:szCs w:val="21"/>
                <w:lang w:val="en-US" w:eastAsia="zh-CN"/>
              </w:rPr>
              <w:t>合格</w:t>
            </w:r>
            <w:r>
              <w:rPr>
                <w:rFonts w:hint="eastAsia" w:eastAsia="仿宋_GB2312"/>
                <w:color w:val="000000"/>
                <w:kern w:val="0"/>
                <w:sz w:val="21"/>
                <w:szCs w:val="21"/>
              </w:rPr>
              <w:t>率</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96%</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9.6</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抽检合格率</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rPr>
              <w:t>监督完成率</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抽检完成率</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成本节约率</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25.56%</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确保群众身体健康和生命安全</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有效保障</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基本有效保障</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30</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28.50</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可持续影响指标</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5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社会公众满意度</w:t>
            </w:r>
          </w:p>
        </w:tc>
        <w:tc>
          <w:tcPr>
            <w:tcW w:w="12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10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95%</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40"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3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95.54</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bl>
    <w:p>
      <w:pPr>
        <w:pStyle w:val="2"/>
        <w:rPr>
          <w:rFonts w:hint="eastAsia"/>
        </w:rPr>
      </w:pPr>
    </w:p>
    <w:p>
      <w:pPr>
        <w:pStyle w:val="2"/>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107B9"/>
    <w:multiLevelType w:val="singleLevel"/>
    <w:tmpl w:val="BF5107B9"/>
    <w:lvl w:ilvl="0" w:tentative="0">
      <w:start w:val="2"/>
      <w:numFmt w:val="decimal"/>
      <w:suff w:val="nothing"/>
      <w:lvlText w:val="%1．"/>
      <w:lvlJc w:val="left"/>
    </w:lvl>
  </w:abstractNum>
  <w:abstractNum w:abstractNumId="1">
    <w:nsid w:val="0CC8575F"/>
    <w:multiLevelType w:val="singleLevel"/>
    <w:tmpl w:val="0CC8575F"/>
    <w:lvl w:ilvl="0" w:tentative="0">
      <w:start w:val="3"/>
      <w:numFmt w:val="chineseCounting"/>
      <w:suff w:val="nothing"/>
      <w:lvlText w:val="%1、"/>
      <w:lvlJc w:val="left"/>
      <w:rPr>
        <w:rFonts w:hint="eastAsia"/>
      </w:rPr>
    </w:lvl>
  </w:abstractNum>
  <w:abstractNum w:abstractNumId="2">
    <w:nsid w:val="1AD9DD59"/>
    <w:multiLevelType w:val="singleLevel"/>
    <w:tmpl w:val="1AD9DD59"/>
    <w:lvl w:ilvl="0" w:tentative="0">
      <w:start w:val="1"/>
      <w:numFmt w:val="decimal"/>
      <w:suff w:val="nothing"/>
      <w:lvlText w:val="%1、"/>
      <w:lvlJc w:val="left"/>
      <w:pPr>
        <w:ind w:left="-227"/>
      </w:pPr>
    </w:lvl>
  </w:abstractNum>
  <w:abstractNum w:abstractNumId="3">
    <w:nsid w:val="1D1FD2E4"/>
    <w:multiLevelType w:val="singleLevel"/>
    <w:tmpl w:val="1D1FD2E4"/>
    <w:lvl w:ilvl="0" w:tentative="0">
      <w:start w:val="8"/>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zMjkwM2MyYmEwMTA1ZjhhYmY0MGRlZjYzZWQxMGYifQ=="/>
  </w:docVars>
  <w:rsids>
    <w:rsidRoot w:val="008E78CB"/>
    <w:rsid w:val="006479FB"/>
    <w:rsid w:val="008E78CB"/>
    <w:rsid w:val="00AD10E6"/>
    <w:rsid w:val="01830099"/>
    <w:rsid w:val="02160F0D"/>
    <w:rsid w:val="029C7664"/>
    <w:rsid w:val="0328464B"/>
    <w:rsid w:val="04D614E6"/>
    <w:rsid w:val="062C0CFF"/>
    <w:rsid w:val="066E3443"/>
    <w:rsid w:val="06D322B3"/>
    <w:rsid w:val="084F5D30"/>
    <w:rsid w:val="08891969"/>
    <w:rsid w:val="08D02EBC"/>
    <w:rsid w:val="08EC5D95"/>
    <w:rsid w:val="0AAB0D8C"/>
    <w:rsid w:val="0ACD752C"/>
    <w:rsid w:val="0AE24082"/>
    <w:rsid w:val="0B081979"/>
    <w:rsid w:val="0C0C4FB5"/>
    <w:rsid w:val="0C8F3D96"/>
    <w:rsid w:val="0CD10852"/>
    <w:rsid w:val="0D253D87"/>
    <w:rsid w:val="0E625C06"/>
    <w:rsid w:val="0F0C3DC3"/>
    <w:rsid w:val="10B169D0"/>
    <w:rsid w:val="114710E3"/>
    <w:rsid w:val="14373691"/>
    <w:rsid w:val="1684192F"/>
    <w:rsid w:val="171A4BA4"/>
    <w:rsid w:val="196768DB"/>
    <w:rsid w:val="1CCB706C"/>
    <w:rsid w:val="1E0D0A6A"/>
    <w:rsid w:val="1FD42590"/>
    <w:rsid w:val="209F6845"/>
    <w:rsid w:val="23713D9D"/>
    <w:rsid w:val="2A0316E4"/>
    <w:rsid w:val="2D636E4D"/>
    <w:rsid w:val="2F210D6D"/>
    <w:rsid w:val="2FD52D2D"/>
    <w:rsid w:val="31667E46"/>
    <w:rsid w:val="31804C71"/>
    <w:rsid w:val="339C0EF3"/>
    <w:rsid w:val="33A51F6D"/>
    <w:rsid w:val="37103BA1"/>
    <w:rsid w:val="384E1641"/>
    <w:rsid w:val="39733FDC"/>
    <w:rsid w:val="3A217E4F"/>
    <w:rsid w:val="3C9B3859"/>
    <w:rsid w:val="3D4F2F4A"/>
    <w:rsid w:val="41DB4DAC"/>
    <w:rsid w:val="44BB608F"/>
    <w:rsid w:val="49B55326"/>
    <w:rsid w:val="4ACC4FA9"/>
    <w:rsid w:val="4B67576D"/>
    <w:rsid w:val="4D2D3ACA"/>
    <w:rsid w:val="4DA90FCF"/>
    <w:rsid w:val="51BA2C30"/>
    <w:rsid w:val="53C14A71"/>
    <w:rsid w:val="5A7F4A16"/>
    <w:rsid w:val="5DE90A12"/>
    <w:rsid w:val="5E2E29DB"/>
    <w:rsid w:val="60EE4B44"/>
    <w:rsid w:val="619C4100"/>
    <w:rsid w:val="63DD47C5"/>
    <w:rsid w:val="64323EED"/>
    <w:rsid w:val="6ABE41D3"/>
    <w:rsid w:val="6B6664BC"/>
    <w:rsid w:val="6C187180"/>
    <w:rsid w:val="6CAF738F"/>
    <w:rsid w:val="6D9B0669"/>
    <w:rsid w:val="6EDD3662"/>
    <w:rsid w:val="71825807"/>
    <w:rsid w:val="71CD1331"/>
    <w:rsid w:val="7309711B"/>
    <w:rsid w:val="74156119"/>
    <w:rsid w:val="7A6C04E0"/>
    <w:rsid w:val="7A7C0656"/>
    <w:rsid w:val="7CD76B5A"/>
    <w:rsid w:val="7EBB4C48"/>
    <w:rsid w:val="7FC6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00"/>
    </w:pPr>
    <w:rPr>
      <w:rFonts w:ascii="Times New Roman" w:hAnsi="Times New Roman" w:eastAsia="宋体" w:cs="Times New Roman"/>
      <w:sz w:val="30"/>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10212</Words>
  <Characters>11185</Characters>
  <Lines>19</Lines>
  <Paragraphs>5</Paragraphs>
  <TotalTime>112</TotalTime>
  <ScaleCrop>false</ScaleCrop>
  <LinksUpToDate>false</LinksUpToDate>
  <CharactersWithSpaces>11388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2021-01-27T03:18:00Z</dcterms:created>
  <dc:creator>Administrator</dc:creator>
  <cp:lastModifiedBy>admin</cp:lastModifiedBy>
  <cp:lastPrinted>2023-04-28T02:28:00Z</cp:lastPrinted>
  <dcterms:modified xsi:type="dcterms:W3CDTF">2023-09-26T03:40:16Z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087F7C9434944A33B44009BB98465F6C_13</vt:lpwstr>
  </property>
</Properties>
</file>