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2020年重点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绩效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评价结果情况说明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eastAsia="黑体" w:cs="Times New Roman"/>
          <w:sz w:val="32"/>
          <w:szCs w:val="32"/>
          <w:lang w:val="en-US" w:eastAsia="zh-CN"/>
        </w:rPr>
        <w:t>重点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年我单位</w:t>
      </w:r>
      <w:r>
        <w:rPr>
          <w:rFonts w:hint="eastAsia" w:cs="Times New Roman"/>
          <w:sz w:val="32"/>
          <w:szCs w:val="32"/>
          <w:lang w:val="en-US" w:eastAsia="zh-CN"/>
        </w:rPr>
        <w:t>重点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项目支出预算共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5.44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万元，包含项目2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个，实际支出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5.44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万元，涵盖项目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金额单位：万元</w:t>
      </w:r>
    </w:p>
    <w:tbl>
      <w:tblPr>
        <w:tblStyle w:val="5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64"/>
        <w:gridCol w:w="3623"/>
        <w:gridCol w:w="945"/>
        <w:gridCol w:w="1005"/>
        <w:gridCol w:w="84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62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资金用途、使用方向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总额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支出总额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信息建设服务费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执法终端记录仪信息服务经费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3.44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3.44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3.44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公共卫生服务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生活饮用水管理及公共卫生场所培训经费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2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5.44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5.44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5.44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2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31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二、重点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</w:t>
      </w:r>
      <w:r>
        <w:rPr>
          <w:rFonts w:ascii="Times New Roman" w:hAnsi="Times New Roman" w:eastAsia="黑体" w:cs="Times New Roman"/>
          <w:sz w:val="32"/>
          <w:szCs w:val="32"/>
        </w:rPr>
        <w:t>绩效</w:t>
      </w:r>
      <w:r>
        <w:rPr>
          <w:rFonts w:hint="eastAsia" w:eastAsia="黑体" w:cs="Times New Roman"/>
          <w:sz w:val="32"/>
          <w:szCs w:val="32"/>
          <w:lang w:val="en-US" w:eastAsia="zh-CN"/>
        </w:rPr>
        <w:t>完成情况</w:t>
      </w:r>
    </w:p>
    <w:p>
      <w:pPr>
        <w:numPr>
          <w:ilvl w:val="0"/>
          <w:numId w:val="1"/>
        </w:numPr>
        <w:spacing w:line="560" w:lineRule="exact"/>
        <w:ind w:left="0" w:leftChars="0" w:firstLine="729" w:firstLineChars="228"/>
        <w:outlineLvl w:val="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执法终端记录仪信息服务项目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主要绩效：明确强化工作保障，着力改善执法条件，合理安排执法装备，保证执法信息传输通畅，实现信息共享，节省时间和投入经费；</w:t>
      </w:r>
    </w:p>
    <w:p>
      <w:pPr>
        <w:numPr>
          <w:ilvl w:val="0"/>
          <w:numId w:val="1"/>
        </w:numPr>
        <w:spacing w:line="560" w:lineRule="exact"/>
        <w:ind w:left="0" w:leftChars="0" w:firstLine="729" w:firstLineChars="228"/>
        <w:outlineLvl w:val="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生活饮用水管理及公共卫生场所培训项目主要绩效：加大公共场所、饮用水、学校、医疗等管理单位的卫生及法律法规培训，防止传染病爆发流行、饮用水污染事件等突发公共卫生事件发生。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存在的问题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firstLine="640" w:firstLineChars="200"/>
        <w:outlineLvl w:val="0"/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对民众普法知识宣传力度不足，管理相对人自检自查能力有待提高。</w:t>
      </w:r>
    </w:p>
    <w:p>
      <w:pPr>
        <w:numPr>
          <w:ilvl w:val="0"/>
          <w:numId w:val="0"/>
        </w:numPr>
        <w:spacing w:line="560" w:lineRule="exact"/>
        <w:ind w:left="0" w:leftChars="0" w:firstLine="729" w:firstLineChars="228"/>
        <w:outlineLvl w:val="0"/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2、基层执法设备培训力度不足，同时设备陈旧，存在迟报、漏报情况；</w:t>
      </w:r>
    </w:p>
    <w:p>
      <w:pPr>
        <w:numPr>
          <w:ilvl w:val="0"/>
          <w:numId w:val="0"/>
        </w:numPr>
        <w:spacing w:line="560" w:lineRule="exact"/>
        <w:ind w:left="0" w:leftChars="0" w:firstLine="729" w:firstLineChars="228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3、目前仅针对持证生活饮用水管理单位进行法律培训，对民众法律法规宣传力度有限。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有关建议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  </w:t>
      </w:r>
    </w:p>
    <w:p>
      <w:pPr>
        <w:numPr>
          <w:ilvl w:val="0"/>
          <w:numId w:val="2"/>
        </w:numPr>
        <w:spacing w:line="560" w:lineRule="exact"/>
        <w:ind w:left="24" w:leftChars="0" w:firstLine="729" w:firstLineChars="0"/>
        <w:outlineLvl w:val="0"/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进一步加强对管理相对人的法律培训宣传，提高频次及覆盖面，同时开展基层民众普法宣传；</w:t>
      </w:r>
    </w:p>
    <w:p>
      <w:pPr>
        <w:numPr>
          <w:ilvl w:val="0"/>
          <w:numId w:val="2"/>
        </w:numPr>
        <w:spacing w:line="560" w:lineRule="exact"/>
        <w:ind w:left="24" w:leftChars="0" w:firstLine="729" w:firstLineChars="0"/>
        <w:outlineLvl w:val="0"/>
        <w:rPr>
          <w:rFonts w:hint="default" w:ascii="仿宋_GB2312" w:hAnsi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加强对基层执法人员执法终端的使用培训，加强卫生计生信息化建设，提高信息及时报送率及准确率；</w:t>
      </w:r>
    </w:p>
    <w:p>
      <w:pPr>
        <w:numPr>
          <w:ilvl w:val="0"/>
          <w:numId w:val="2"/>
        </w:numPr>
        <w:spacing w:line="560" w:lineRule="exact"/>
        <w:ind w:left="24" w:leftChars="0" w:firstLine="729" w:firstLineChars="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加大生活饮用水卫生法律培训覆盖范围，加强对民众生活饮用水法律法规宣传，提高对饮用水安全的防控意识。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footerReference r:id="rId4" w:type="even"/>
      <w:pgSz w:w="11907" w:h="16840"/>
      <w:pgMar w:top="1440" w:right="1800" w:bottom="1440" w:left="1800" w:header="851" w:footer="992" w:gutter="0"/>
      <w:cols w:space="720" w:num="1"/>
      <w:docGrid w:type="lines"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9DD59"/>
    <w:multiLevelType w:val="singleLevel"/>
    <w:tmpl w:val="1AD9DD59"/>
    <w:lvl w:ilvl="0" w:tentative="0">
      <w:start w:val="1"/>
      <w:numFmt w:val="decimal"/>
      <w:suff w:val="nothing"/>
      <w:lvlText w:val="%1、"/>
      <w:lvlJc w:val="left"/>
      <w:pPr>
        <w:ind w:left="24"/>
      </w:pPr>
    </w:lvl>
  </w:abstractNum>
  <w:abstractNum w:abstractNumId="1">
    <w:nsid w:val="2E6FF976"/>
    <w:multiLevelType w:val="singleLevel"/>
    <w:tmpl w:val="2E6FF9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MjkwM2MyYmEwMTA1ZjhhYmY0MGRlZjYzZWQxMGYifQ=="/>
  </w:docVars>
  <w:rsids>
    <w:rsidRoot w:val="00000000"/>
    <w:rsid w:val="07BE63D2"/>
    <w:rsid w:val="391E4F3A"/>
    <w:rsid w:val="488C53CE"/>
    <w:rsid w:val="5BB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1503</Words>
  <Characters>1574</Characters>
  <Lines>0</Lines>
  <Paragraphs>0</Paragraphs>
  <TotalTime>5</TotalTime>
  <ScaleCrop>false</ScaleCrop>
  <LinksUpToDate>false</LinksUpToDate>
  <CharactersWithSpaces>1590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2022-08-26T08:34:00Z</dcterms:created>
  <dc:creator>admin</dc:creator>
  <cp:lastModifiedBy>admin</cp:lastModifiedBy>
  <cp:lastPrinted>2022-08-26T08:37:00Z</cp:lastPrinted>
  <dcterms:modified xsi:type="dcterms:W3CDTF">2022-08-31T06:51:10Z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C70EA8B1317345C68B05D34A6260AA34</vt:lpwstr>
  </property>
</Properties>
</file>