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jc w:val="center"/>
        <w:rPr>
          <w:rFonts w:hint="eastAsia" w:ascii="仿宋" w:hAnsi="仿宋" w:eastAsia="仿宋" w:cs="仿宋"/>
          <w:b/>
          <w:bCs/>
          <w:color w:val="auto"/>
          <w:sz w:val="44"/>
          <w:szCs w:val="44"/>
        </w:rPr>
      </w:pPr>
      <w:bookmarkStart w:id="0" w:name="_GoBack"/>
      <w:bookmarkEnd w:id="0"/>
    </w:p>
    <w:p>
      <w:pPr>
        <w:pStyle w:val="7"/>
        <w:spacing w:line="600" w:lineRule="exact"/>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2019年度部门整体支出绩效评价报告</w:t>
      </w:r>
    </w:p>
    <w:p>
      <w:pPr>
        <w:pStyle w:val="7"/>
        <w:spacing w:line="600" w:lineRule="exact"/>
        <w:jc w:val="center"/>
        <w:rPr>
          <w:rFonts w:hint="eastAsia" w:ascii="仿宋" w:hAnsi="仿宋" w:eastAsia="仿宋" w:cs="仿宋"/>
          <w:b/>
          <w:bCs/>
          <w:color w:val="auto"/>
          <w:sz w:val="44"/>
          <w:szCs w:val="44"/>
        </w:rPr>
      </w:pPr>
    </w:p>
    <w:p>
      <w:pPr>
        <w:pStyle w:val="8"/>
        <w:numPr>
          <w:ilvl w:val="0"/>
          <w:numId w:val="1"/>
        </w:numPr>
        <w:spacing w:line="600" w:lineRule="exact"/>
        <w:ind w:firstLineChars="0"/>
        <w:jc w:val="left"/>
        <w:rPr>
          <w:rFonts w:hint="eastAsia" w:ascii="仿宋" w:hAnsi="仿宋" w:eastAsia="仿宋" w:cs="仿宋"/>
          <w:b/>
          <w:bCs/>
          <w:color w:val="333333"/>
          <w:sz w:val="32"/>
          <w:szCs w:val="32"/>
        </w:rPr>
      </w:pPr>
      <w:r>
        <w:rPr>
          <w:rFonts w:hint="eastAsia" w:ascii="仿宋" w:hAnsi="仿宋" w:eastAsia="仿宋" w:cs="仿宋"/>
          <w:b/>
          <w:bCs/>
          <w:color w:val="333333"/>
          <w:sz w:val="32"/>
          <w:szCs w:val="32"/>
        </w:rPr>
        <w:t>部门整体支出概况：</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2019年支出预算450.33万元，其中：基本支出191.81万元，项目支出258.52万元，支出完成率为99.54%。</w:t>
      </w:r>
    </w:p>
    <w:p>
      <w:pPr>
        <w:spacing w:line="600" w:lineRule="exact"/>
        <w:ind w:left="643"/>
        <w:jc w:val="left"/>
        <w:rPr>
          <w:rFonts w:hint="eastAsia" w:ascii="仿宋" w:hAnsi="仿宋" w:eastAsia="仿宋" w:cs="仿宋"/>
          <w:b/>
          <w:bCs/>
          <w:color w:val="333333"/>
          <w:sz w:val="32"/>
          <w:szCs w:val="32"/>
        </w:rPr>
      </w:pPr>
      <w:r>
        <w:rPr>
          <w:rFonts w:hint="eastAsia" w:ascii="仿宋" w:hAnsi="仿宋" w:eastAsia="仿宋" w:cs="仿宋"/>
          <w:b/>
          <w:bCs/>
          <w:color w:val="333333"/>
          <w:sz w:val="32"/>
          <w:szCs w:val="32"/>
        </w:rPr>
        <w:t>二</w:t>
      </w:r>
      <w:r>
        <w:rPr>
          <w:rFonts w:hint="eastAsia" w:ascii="仿宋" w:hAnsi="仿宋" w:eastAsia="仿宋" w:cs="仿宋"/>
          <w:sz w:val="32"/>
          <w:szCs w:val="32"/>
        </w:rPr>
        <w:t>、</w:t>
      </w:r>
      <w:r>
        <w:rPr>
          <w:rFonts w:hint="eastAsia" w:ascii="仿宋" w:hAnsi="仿宋" w:eastAsia="仿宋" w:cs="仿宋"/>
          <w:b/>
          <w:bCs/>
          <w:color w:val="333333"/>
          <w:sz w:val="32"/>
          <w:szCs w:val="32"/>
        </w:rPr>
        <w:t>项目资金使用及管理情况</w:t>
      </w:r>
    </w:p>
    <w:p>
      <w:pPr>
        <w:pStyle w:val="9"/>
        <w:spacing w:before="0" w:beforeAutospacing="0" w:after="0" w:afterAutospacing="0"/>
        <w:ind w:firstLine="420"/>
        <w:jc w:val="both"/>
        <w:rPr>
          <w:rFonts w:hint="eastAsia" w:ascii="仿宋" w:hAnsi="仿宋" w:eastAsia="仿宋" w:cs="仿宋"/>
          <w:color w:val="333333"/>
        </w:rPr>
      </w:pPr>
      <w:r>
        <w:rPr>
          <w:rFonts w:hint="eastAsia" w:ascii="仿宋" w:hAnsi="仿宋" w:eastAsia="仿宋" w:cs="仿宋"/>
          <w:b/>
          <w:bCs/>
          <w:color w:val="333333"/>
          <w:sz w:val="32"/>
          <w:szCs w:val="32"/>
        </w:rPr>
        <w:t>（一）基本支出</w:t>
      </w:r>
    </w:p>
    <w:p>
      <w:pPr>
        <w:pStyle w:val="9"/>
        <w:spacing w:before="0" w:beforeAutospacing="0" w:after="0" w:afterAutospacing="0"/>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基本支出191.81万元，其中工资福利支出146.49万元，对个人和家庭的补助支出23.39万元，一般商品服务支出21.93万元。</w:t>
      </w:r>
    </w:p>
    <w:p>
      <w:pPr>
        <w:pStyle w:val="7"/>
        <w:spacing w:line="600" w:lineRule="exact"/>
        <w:ind w:firstLine="480" w:firstLineChars="150"/>
        <w:rPr>
          <w:rFonts w:hint="eastAsia" w:ascii="仿宋" w:hAnsi="仿宋" w:eastAsia="仿宋" w:cs="仿宋"/>
          <w:color w:val="auto"/>
          <w:sz w:val="32"/>
          <w:szCs w:val="32"/>
        </w:rPr>
      </w:pPr>
      <w:r>
        <w:rPr>
          <w:rFonts w:hint="eastAsia" w:ascii="仿宋" w:hAnsi="仿宋" w:eastAsia="仿宋" w:cs="仿宋"/>
          <w:color w:val="auto"/>
          <w:sz w:val="32"/>
          <w:szCs w:val="32"/>
        </w:rPr>
        <w:t>（二）2019年度本单位无“三公”经费开支</w:t>
      </w:r>
    </w:p>
    <w:p>
      <w:pPr>
        <w:pStyle w:val="9"/>
        <w:spacing w:before="0" w:beforeAutospacing="0" w:after="0" w:afterAutospacing="0"/>
        <w:ind w:firstLine="420"/>
        <w:jc w:val="both"/>
        <w:rPr>
          <w:rFonts w:hint="eastAsia" w:ascii="仿宋" w:hAnsi="仿宋" w:eastAsia="仿宋" w:cs="仿宋"/>
          <w:color w:val="333333"/>
        </w:rPr>
      </w:pPr>
      <w:r>
        <w:rPr>
          <w:rFonts w:hint="eastAsia" w:ascii="仿宋" w:hAnsi="仿宋" w:eastAsia="仿宋" w:cs="仿宋"/>
          <w:b/>
          <w:bCs/>
          <w:color w:val="333333"/>
          <w:sz w:val="32"/>
          <w:szCs w:val="32"/>
        </w:rPr>
        <w:t>（三）项目支出</w:t>
      </w:r>
    </w:p>
    <w:p>
      <w:pPr>
        <w:pStyle w:val="9"/>
        <w:spacing w:before="0" w:beforeAutospacing="0" w:after="0" w:afterAutospacing="0"/>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专项支出258.52万元，其中：公共卫生241.32万元（卫生监督机构230.71万元，重大卫生专项10.61万元），其他卫生健康管理事务支出17.21万元。资金使用管理方面我单位严格按照有关规定国库集中支付管理、行政事业单位会计制度规定和财政下达资金的使用范围管理和使用项目经费，做到专款专用，确保资金支出的真实性、安全性、合理性。</w:t>
      </w:r>
    </w:p>
    <w:p>
      <w:pPr>
        <w:spacing w:line="600" w:lineRule="exact"/>
        <w:ind w:left="643"/>
        <w:jc w:val="left"/>
        <w:rPr>
          <w:rFonts w:hint="eastAsia" w:ascii="仿宋" w:hAnsi="仿宋" w:eastAsia="仿宋" w:cs="仿宋"/>
          <w:b/>
          <w:bCs/>
          <w:color w:val="333333"/>
          <w:sz w:val="32"/>
          <w:szCs w:val="32"/>
        </w:rPr>
      </w:pPr>
      <w:r>
        <w:rPr>
          <w:rFonts w:hint="eastAsia" w:ascii="仿宋" w:hAnsi="仿宋" w:eastAsia="仿宋" w:cs="仿宋"/>
          <w:b/>
          <w:bCs/>
          <w:color w:val="333333"/>
          <w:sz w:val="32"/>
          <w:szCs w:val="32"/>
        </w:rPr>
        <w:t>三</w:t>
      </w:r>
      <w:r>
        <w:rPr>
          <w:rFonts w:hint="eastAsia" w:ascii="仿宋" w:hAnsi="仿宋" w:eastAsia="仿宋" w:cs="仿宋"/>
          <w:sz w:val="32"/>
          <w:szCs w:val="32"/>
        </w:rPr>
        <w:t>、</w:t>
      </w:r>
      <w:r>
        <w:rPr>
          <w:rFonts w:hint="eastAsia" w:ascii="仿宋" w:hAnsi="仿宋" w:eastAsia="仿宋" w:cs="仿宋"/>
          <w:b/>
          <w:bCs/>
          <w:color w:val="333333"/>
          <w:sz w:val="32"/>
          <w:szCs w:val="32"/>
        </w:rPr>
        <w:t>项目组织实施情况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left"/>
        <w:textAlignment w:val="auto"/>
        <w:rPr>
          <w:rFonts w:hint="eastAsia" w:ascii="仿宋" w:hAnsi="仿宋" w:eastAsia="仿宋" w:cs="仿宋"/>
          <w:sz w:val="32"/>
          <w:szCs w:val="32"/>
          <w:lang w:eastAsia="zh-CN"/>
        </w:rPr>
      </w:pPr>
      <w:r>
        <w:rPr>
          <w:rFonts w:hint="eastAsia" w:ascii="仿宋" w:hAnsi="仿宋" w:eastAsia="仿宋" w:cs="仿宋"/>
          <w:i w:val="0"/>
          <w:caps w:val="0"/>
          <w:color w:val="333333"/>
          <w:spacing w:val="0"/>
          <w:kern w:val="0"/>
          <w:sz w:val="32"/>
          <w:szCs w:val="32"/>
          <w:lang w:val="en-US" w:eastAsia="zh-CN" w:bidi="ar"/>
        </w:rPr>
        <w:t>本单位制订了资金安全使用的管理制度，严格审批程序，确保各专项资金按渠道、用途安全使用。财务室负责审核，并确保各专项开支的原始凭证及辅助资料完整。</w:t>
      </w:r>
    </w:p>
    <w:p>
      <w:pPr>
        <w:spacing w:line="600" w:lineRule="exact"/>
        <w:ind w:left="643"/>
        <w:jc w:val="left"/>
        <w:rPr>
          <w:rFonts w:hint="eastAsia" w:ascii="仿宋" w:hAnsi="仿宋" w:eastAsia="仿宋" w:cs="仿宋"/>
          <w:b/>
          <w:bCs/>
          <w:color w:val="333333"/>
          <w:sz w:val="32"/>
          <w:szCs w:val="32"/>
        </w:rPr>
      </w:pPr>
      <w:r>
        <w:rPr>
          <w:rFonts w:hint="eastAsia" w:ascii="仿宋" w:hAnsi="仿宋" w:eastAsia="仿宋" w:cs="仿宋"/>
          <w:b/>
          <w:bCs/>
          <w:color w:val="333333"/>
          <w:sz w:val="32"/>
          <w:szCs w:val="32"/>
        </w:rPr>
        <w:t>四、部门绩效情况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区共有监管对象1090家，其中公共场所单位325家，二次供水单位86家，医疗机构425家，学校幼儿园207家，放射诊疗单位25家，母婴保健服务机构22家。全年新（换）发公共场所《卫生许可证》153本。全区被监管单位监督覆盖率为100%。</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日常卫生监督持续开展“双随机、一公开”监督抽查工作， “双随机”任务完结率为100%，培训平台通过率为100%。</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全面推开公共场所卫生许可告知承诺制改革；组织开展了餐具、饮具集中消毒服务单位生产经营合规性和学校采光照明等教学环境达标情况的抽查工作。</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全面落实了饮用水卫生安全巡查、公共场所卫生量化分级管理等“十三五”规划目标任务；公共场所单位量化分级管理覆盖率为100%。</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按照相关规章制度及时处理各类投诉举报，投诉举报处理及时率、反馈及时率及群众满意度均为100%。</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加大了违法行为的查处力度，开展行政处罚案件的内部审查及年度行政处罚案卷点评工作，行政处罚案件合格率为100%。</w:t>
      </w:r>
    </w:p>
    <w:p>
      <w:pPr>
        <w:pStyle w:val="9"/>
        <w:spacing w:before="0" w:beforeAutospacing="0" w:after="0" w:afterAutospacing="0"/>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2019年我局提高了</w:t>
      </w:r>
      <w:r>
        <w:rPr>
          <w:rFonts w:hint="eastAsia" w:ascii="仿宋" w:hAnsi="仿宋" w:eastAsia="仿宋" w:cs="仿宋"/>
          <w:sz w:val="32"/>
          <w:szCs w:val="32"/>
        </w:rPr>
        <w:t>行政运行成本效率，提升了卫生行政执法能力和</w:t>
      </w:r>
      <w:r>
        <w:rPr>
          <w:rFonts w:hint="eastAsia" w:ascii="仿宋" w:hAnsi="仿宋" w:eastAsia="仿宋" w:cs="仿宋"/>
          <w:kern w:val="2"/>
          <w:sz w:val="32"/>
          <w:szCs w:val="32"/>
        </w:rPr>
        <w:t>服务水平，夯实了公共卫生服务的基础，控制经费较好地完成了基本公共卫生安全监督检查工作，为全区人民群众的公共卫生安全做出了应有的努力，收到了良好的社会效益。</w:t>
      </w:r>
    </w:p>
    <w:p>
      <w:pPr>
        <w:pStyle w:val="9"/>
        <w:spacing w:before="0" w:beforeAutospacing="0" w:after="0" w:afterAutospacing="0"/>
        <w:ind w:firstLine="420"/>
        <w:jc w:val="both"/>
        <w:rPr>
          <w:rFonts w:hint="eastAsia" w:ascii="仿宋" w:hAnsi="仿宋" w:eastAsia="仿宋" w:cs="仿宋"/>
          <w:color w:val="333333"/>
        </w:rPr>
      </w:pPr>
      <w:r>
        <w:rPr>
          <w:rFonts w:hint="eastAsia" w:ascii="仿宋" w:hAnsi="仿宋" w:eastAsia="仿宋" w:cs="仿宋"/>
          <w:b/>
          <w:bCs/>
          <w:color w:val="333333"/>
          <w:sz w:val="32"/>
          <w:szCs w:val="32"/>
        </w:rPr>
        <w:t>五</w:t>
      </w:r>
      <w:r>
        <w:rPr>
          <w:rFonts w:hint="eastAsia" w:ascii="仿宋" w:hAnsi="仿宋" w:eastAsia="仿宋" w:cs="仿宋"/>
          <w:sz w:val="32"/>
          <w:szCs w:val="32"/>
        </w:rPr>
        <w:t>、</w:t>
      </w:r>
      <w:r>
        <w:rPr>
          <w:rFonts w:hint="eastAsia" w:ascii="仿宋" w:hAnsi="仿宋" w:eastAsia="仿宋" w:cs="仿宋"/>
          <w:b/>
          <w:bCs/>
          <w:color w:val="333333"/>
          <w:sz w:val="32"/>
          <w:szCs w:val="32"/>
        </w:rPr>
        <w:t>存在的主要问题</w:t>
      </w:r>
    </w:p>
    <w:p>
      <w:pPr>
        <w:pStyle w:val="9"/>
        <w:spacing w:before="0" w:beforeAutospacing="0" w:after="0" w:afterAutospacing="0"/>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我单位资金均按实际需求进行安排，使用过程中严格按相关规定进行支出，厉行节约，尽可能以最低的支出达到最好的效果，存在的主要问题是对资金的使用时间规划欠合理，存在上半年使用少、下半年使用多的情况。</w:t>
      </w:r>
    </w:p>
    <w:p>
      <w:pPr>
        <w:pStyle w:val="9"/>
        <w:spacing w:before="0" w:beforeAutospacing="0" w:after="0" w:afterAutospacing="0"/>
        <w:ind w:firstLine="420"/>
        <w:jc w:val="both"/>
        <w:rPr>
          <w:rFonts w:hint="eastAsia" w:ascii="仿宋" w:hAnsi="仿宋" w:eastAsia="仿宋" w:cs="仿宋"/>
          <w:color w:val="333333"/>
        </w:rPr>
      </w:pPr>
      <w:r>
        <w:rPr>
          <w:rFonts w:hint="eastAsia" w:ascii="仿宋" w:hAnsi="仿宋" w:eastAsia="仿宋" w:cs="仿宋"/>
          <w:b/>
          <w:bCs/>
          <w:color w:val="333333"/>
          <w:sz w:val="32"/>
          <w:szCs w:val="32"/>
        </w:rPr>
        <w:t>六、改进措施及相关建议</w:t>
      </w:r>
    </w:p>
    <w:p>
      <w:pPr>
        <w:pStyle w:val="9"/>
        <w:spacing w:before="0" w:beforeAutospacing="0" w:after="0" w:afterAutospacing="0"/>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针对我们在资金使用过程中存的时间规划不合理的问题，在今后的工作中，我们将加强统一协调，使资金使用时间安排更合理。建议财政等相关部门加强绩效评价管理方面的培训，以更好开展绩效评价管理工作。</w:t>
      </w:r>
    </w:p>
    <w:p>
      <w:pPr>
        <w:rPr>
          <w:rFonts w:hint="eastAsia" w:ascii="仿宋" w:hAnsi="仿宋" w:eastAsia="仿宋" w:cs="仿宋"/>
        </w:rPr>
      </w:pPr>
    </w:p>
    <w:p>
      <w:pPr>
        <w:widowControl/>
        <w:numPr>
          <w:ilvl w:val="0"/>
          <w:numId w:val="0"/>
        </w:numPr>
        <w:spacing w:line="600" w:lineRule="exact"/>
        <w:jc w:val="both"/>
        <w:rPr>
          <w:rFonts w:hint="eastAsia" w:ascii="仿宋" w:hAnsi="仿宋" w:eastAsia="仿宋" w:cs="仿宋"/>
          <w:b/>
          <w:bCs/>
          <w:kern w:val="0"/>
          <w:sz w:val="44"/>
          <w:szCs w:val="44"/>
          <w:lang w:val="en-US" w:eastAsia="zh-CN"/>
        </w:rPr>
      </w:pPr>
    </w:p>
    <w:p/>
    <w:sectPr>
      <w:footerReference r:id="rId6" w:type="first"/>
      <w:headerReference r:id="rId3" w:type="default"/>
      <w:footerReference r:id="rId4" w:type="default"/>
      <w:footerReference r:id="rId5" w:type="even"/>
      <w:pgSz w:w="11906" w:h="16838"/>
      <w:pgMar w:top="1588" w:right="1588" w:bottom="1418" w:left="1588" w:header="851" w:footer="1418"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right"/>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PAGE   \* MERGEFORMAT</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lang w:val="zh-CN"/>
                            </w:rPr>
                            <w:t>15</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
                      <w:jc w:val="right"/>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PAGE   \* MERGEFORMAT</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lang w:val="zh-CN"/>
                      </w:rPr>
                      <w:t>15</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p>
    <w:pP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14</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2"/>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14</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6F045"/>
    <w:multiLevelType w:val="singleLevel"/>
    <w:tmpl w:val="A1A6F045"/>
    <w:lvl w:ilvl="0" w:tentative="0">
      <w:start w:val="1"/>
      <w:numFmt w:val="decimal"/>
      <w:suff w:val="nothing"/>
      <w:lvlText w:val="%1、"/>
      <w:lvlJc w:val="left"/>
    </w:lvl>
  </w:abstractNum>
  <w:abstractNum w:abstractNumId="1">
    <w:nsid w:val="40E842C7"/>
    <w:multiLevelType w:val="multilevel"/>
    <w:tmpl w:val="40E842C7"/>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750F94"/>
    <w:rsid w:val="5CA2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8">
    <w:name w:val="List Paragraph"/>
    <w:basedOn w:val="1"/>
    <w:qFormat/>
    <w:uiPriority w:val="34"/>
    <w:pPr>
      <w:ind w:firstLine="420" w:firstLineChars="200"/>
    </w:p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2021-05-26T05:03:00Z</dcterms:created>
  <dc:creator>admin</dc:creator>
  <cp:lastModifiedBy>Administrator</cp:lastModifiedBy>
  <dcterms:modified xsi:type="dcterms:W3CDTF">2021-05-26T08:39:34Z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6FD0AE181261424CA26AF86E82E3B7EE</vt:lpwstr>
  </property>
</Properties>
</file>