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kern w:val="0"/>
          <w:sz w:val="48"/>
          <w:szCs w:val="48"/>
        </w:rPr>
      </w:pPr>
      <w:r>
        <w:rPr>
          <w:rFonts w:hint="eastAsia" w:ascii="仿宋" w:hAnsi="仿宋" w:eastAsia="仿宋" w:cs="仿宋"/>
          <w:b/>
          <w:bCs/>
          <w:kern w:val="0"/>
          <w:sz w:val="48"/>
          <w:szCs w:val="48"/>
        </w:rPr>
        <w:t>2021年长沙市开福区社保中心部门预算</w:t>
      </w:r>
    </w:p>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eastAsia="黑体"/>
          <w:bCs/>
          <w:kern w:val="0"/>
          <w:sz w:val="32"/>
          <w:szCs w:val="32"/>
        </w:rPr>
        <w:t>一、部门基本概况</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（一）职能职责。</w:t>
      </w:r>
      <w:r>
        <w:rPr>
          <w:rFonts w:hint="eastAsia" w:ascii="仿宋" w:hAnsi="仿宋" w:eastAsia="仿宋" w:cs="仿宋"/>
          <w:bCs/>
          <w:sz w:val="32"/>
          <w:szCs w:val="32"/>
        </w:rPr>
        <w:t>贯彻落实机关、企事业单位基本养老保险政策，贯彻落实全区城乡居民养老保险和被征地农民社会保障政策，贯彻落实养老保险基金筹集、给付条件、给付标准和养老保险关系转移办法，贯彻落实养老保险基金管理制度，贯彻落实养老保险社会化管理服务制度。</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（二）机构设置。</w:t>
      </w:r>
      <w:r>
        <w:rPr>
          <w:rFonts w:hint="eastAsia" w:ascii="仿宋" w:hAnsi="仿宋" w:eastAsia="仿宋" w:cs="仿宋"/>
          <w:bCs/>
          <w:sz w:val="32"/>
          <w:szCs w:val="32"/>
        </w:rPr>
        <w:t>本部门为长沙市开福区人力资源和社会保障局下设的二级机构，未再另设科室，由1个副科级公益一类事业单位组成。本部门编制数10人，在职人数9人，其中:在岗人数19人：含政府雇员1人，编外长期聘用10人；离退休人数1人，其中离休人员0人，退休人员1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kern w:val="0"/>
          <w:sz w:val="32"/>
          <w:szCs w:val="32"/>
        </w:rPr>
      </w:pPr>
      <w:r>
        <w:rPr>
          <w:rFonts w:eastAsia="黑体"/>
          <w:kern w:val="0"/>
          <w:sz w:val="32"/>
          <w:szCs w:val="32"/>
        </w:rPr>
        <w:t>二、部门预算单位构成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开福区社保中心只有本级，没有其他二级预算单位，因此，纳入2021年部门预算编制范围的只有开福区社保中心部门本级。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三、</w:t>
      </w:r>
      <w:r>
        <w:rPr>
          <w:rFonts w:eastAsia="黑体"/>
          <w:bCs/>
          <w:kern w:val="0"/>
          <w:sz w:val="32"/>
          <w:szCs w:val="32"/>
        </w:rPr>
        <w:t>部门收支总体情况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2021年部门预算包括本级预算。收入主要包括一般公共预算拨款收入，支出包括一般公共预算拨款支出。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sz w:val="32"/>
          <w:szCs w:val="32"/>
        </w:rPr>
        <w:t>（一）收入预算：</w:t>
      </w:r>
      <w:r>
        <w:rPr>
          <w:rFonts w:hint="eastAsia" w:ascii="仿宋" w:hAnsi="仿宋" w:eastAsia="仿宋" w:cs="仿宋"/>
          <w:bCs/>
          <w:sz w:val="32"/>
          <w:szCs w:val="32"/>
        </w:rPr>
        <w:t>2021年年初预算数18988.09万元，其中，一般公共预算拨款18988.09万元，政府性基金预算拨款0万元，国有资本经营预算拨款0万元，纳入专户管理的非税收入0万元。收入较去年增加1232.37万元，</w:t>
      </w:r>
      <w:r>
        <w:rPr>
          <w:rFonts w:hint="eastAsia" w:ascii="仿宋" w:hAnsi="仿宋" w:eastAsia="仿宋" w:cs="仿宋"/>
          <w:bCs/>
          <w:color w:val="auto"/>
          <w:sz w:val="32"/>
          <w:szCs w:val="32"/>
        </w:rPr>
        <w:t>增长6</w:t>
      </w:r>
      <w:r>
        <w:rPr>
          <w:rFonts w:ascii="仿宋" w:hAnsi="仿宋" w:eastAsia="仿宋" w:cs="仿宋"/>
          <w:bCs/>
          <w:color w:val="auto"/>
          <w:sz w:val="32"/>
          <w:szCs w:val="32"/>
        </w:rPr>
        <w:t>.94</w:t>
      </w:r>
      <w:r>
        <w:rPr>
          <w:rFonts w:hint="eastAsia" w:ascii="仿宋" w:hAnsi="仿宋" w:eastAsia="仿宋" w:cs="仿宋"/>
          <w:bCs/>
          <w:color w:val="auto"/>
          <w:sz w:val="32"/>
          <w:szCs w:val="32"/>
        </w:rPr>
        <w:t>%，主要是财政对社保基金的补助增加。</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（二）支出预算：</w:t>
      </w:r>
      <w:r>
        <w:rPr>
          <w:rFonts w:hint="eastAsia" w:ascii="仿宋" w:hAnsi="仿宋" w:eastAsia="仿宋" w:cs="仿宋"/>
          <w:bCs/>
          <w:sz w:val="32"/>
          <w:szCs w:val="32"/>
        </w:rPr>
        <w:t>2021年支出预算数18988.09万元，其中，</w:t>
      </w:r>
      <w:r>
        <w:rPr>
          <w:rFonts w:hint="eastAsia" w:ascii="仿宋" w:hAnsi="仿宋" w:eastAsia="仿宋" w:cs="仿宋"/>
          <w:bCs/>
          <w:color w:val="auto"/>
          <w:sz w:val="32"/>
          <w:szCs w:val="32"/>
        </w:rPr>
        <w:t>社会保障和就业支出1</w:t>
      </w:r>
      <w:r>
        <w:rPr>
          <w:rFonts w:ascii="仿宋" w:hAnsi="仿宋" w:eastAsia="仿宋" w:cs="仿宋"/>
          <w:bCs/>
          <w:color w:val="auto"/>
          <w:sz w:val="32"/>
          <w:szCs w:val="32"/>
        </w:rPr>
        <w:t>8963.38</w:t>
      </w:r>
      <w:r>
        <w:rPr>
          <w:rFonts w:hint="eastAsia" w:ascii="仿宋" w:hAnsi="仿宋" w:eastAsia="仿宋" w:cs="仿宋"/>
          <w:bCs/>
          <w:color w:val="auto"/>
          <w:sz w:val="32"/>
          <w:szCs w:val="32"/>
        </w:rPr>
        <w:t>万元，住房保障支出2</w:t>
      </w:r>
      <w:r>
        <w:rPr>
          <w:rFonts w:ascii="仿宋" w:hAnsi="仿宋" w:eastAsia="仿宋" w:cs="仿宋"/>
          <w:bCs/>
          <w:color w:val="auto"/>
          <w:sz w:val="32"/>
          <w:szCs w:val="32"/>
        </w:rPr>
        <w:t>4.71</w:t>
      </w:r>
      <w:r>
        <w:rPr>
          <w:rFonts w:hint="eastAsia" w:ascii="仿宋" w:hAnsi="仿宋" w:eastAsia="仿宋" w:cs="仿宋"/>
          <w:bCs/>
          <w:color w:val="auto"/>
          <w:sz w:val="32"/>
          <w:szCs w:val="32"/>
        </w:rPr>
        <w:t>万元。</w:t>
      </w:r>
      <w:r>
        <w:rPr>
          <w:rFonts w:hint="eastAsia" w:ascii="仿宋" w:hAnsi="仿宋" w:eastAsia="仿宋" w:cs="仿宋"/>
          <w:bCs/>
          <w:sz w:val="32"/>
          <w:szCs w:val="32"/>
        </w:rPr>
        <w:t>本年支出预算数比上年增加1232.37万元，增长6.94%。支出增加的主要原因是财政对社保基金的补助增加。</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仿宋_GB2312"/>
          <w:sz w:val="32"/>
          <w:szCs w:val="32"/>
        </w:rPr>
      </w:pPr>
      <w:r>
        <w:rPr>
          <w:rFonts w:hint="eastAsia" w:ascii="仿宋" w:hAnsi="仿宋" w:eastAsia="仿宋" w:cs="仿宋"/>
          <w:bCs/>
          <w:sz w:val="32"/>
          <w:szCs w:val="32"/>
        </w:rPr>
        <w:t>2021年一般公共预算拨款收入18988.09万元，</w:t>
      </w:r>
      <w:r>
        <w:rPr>
          <w:rFonts w:hint="eastAsia" w:ascii="仿宋" w:hAnsi="仿宋" w:eastAsia="仿宋" w:cs="仿宋"/>
          <w:sz w:val="32"/>
          <w:szCs w:val="32"/>
        </w:rPr>
        <w:t>其中，</w:t>
      </w:r>
      <w:r>
        <w:rPr>
          <w:rFonts w:hint="eastAsia" w:eastAsia="仿宋_GB2312"/>
          <w:color w:val="auto"/>
          <w:sz w:val="32"/>
          <w:szCs w:val="32"/>
        </w:rPr>
        <w:t>社会保障和就业</w:t>
      </w:r>
      <w:r>
        <w:rPr>
          <w:rFonts w:ascii="仿宋" w:hAnsi="仿宋" w:eastAsia="仿宋" w:cs="仿宋"/>
          <w:color w:val="auto"/>
          <w:sz w:val="32"/>
          <w:szCs w:val="32"/>
        </w:rPr>
        <w:t>18963.38</w:t>
      </w:r>
      <w:r>
        <w:rPr>
          <w:rFonts w:hint="eastAsia" w:ascii="仿宋" w:hAnsi="仿宋" w:eastAsia="仿宋" w:cs="仿宋"/>
          <w:color w:val="auto"/>
          <w:sz w:val="32"/>
          <w:szCs w:val="32"/>
        </w:rPr>
        <w:t>万元</w:t>
      </w:r>
      <w:r>
        <w:rPr>
          <w:rFonts w:hint="eastAsia" w:eastAsia="仿宋_GB2312"/>
          <w:color w:val="auto"/>
          <w:sz w:val="32"/>
          <w:szCs w:val="32"/>
        </w:rPr>
        <w:t>，</w:t>
      </w:r>
      <w:r>
        <w:rPr>
          <w:rFonts w:eastAsia="仿宋_GB2312"/>
          <w:color w:val="auto"/>
          <w:sz w:val="32"/>
          <w:szCs w:val="32"/>
        </w:rPr>
        <w:t>占</w:t>
      </w:r>
      <w:r>
        <w:rPr>
          <w:rFonts w:ascii="仿宋" w:hAnsi="仿宋" w:eastAsia="仿宋" w:cs="仿宋"/>
          <w:color w:val="auto"/>
          <w:sz w:val="32"/>
          <w:szCs w:val="32"/>
        </w:rPr>
        <w:t>99.87</w:t>
      </w:r>
      <w:r>
        <w:rPr>
          <w:rFonts w:hint="eastAsia" w:eastAsia="仿宋_GB2312"/>
          <w:color w:val="auto"/>
          <w:sz w:val="32"/>
          <w:szCs w:val="32"/>
        </w:rPr>
        <w:t>%；住房保障支出</w:t>
      </w:r>
      <w:r>
        <w:rPr>
          <w:rFonts w:ascii="仿宋" w:hAnsi="仿宋" w:eastAsia="仿宋" w:cs="仿宋"/>
          <w:color w:val="auto"/>
          <w:sz w:val="32"/>
          <w:szCs w:val="32"/>
        </w:rPr>
        <w:t>24.71</w:t>
      </w:r>
      <w:r>
        <w:rPr>
          <w:rFonts w:hint="eastAsia" w:eastAsia="仿宋_GB2312"/>
          <w:color w:val="auto"/>
          <w:sz w:val="32"/>
          <w:szCs w:val="32"/>
        </w:rPr>
        <w:t>万元，</w:t>
      </w:r>
      <w:r>
        <w:rPr>
          <w:rFonts w:eastAsia="仿宋_GB2312"/>
          <w:color w:val="auto"/>
          <w:sz w:val="32"/>
          <w:szCs w:val="32"/>
        </w:rPr>
        <w:t>占</w:t>
      </w:r>
      <w:r>
        <w:rPr>
          <w:rFonts w:ascii="仿宋" w:hAnsi="仿宋" w:eastAsia="仿宋" w:cs="仿宋"/>
          <w:color w:val="auto"/>
          <w:sz w:val="32"/>
          <w:szCs w:val="32"/>
        </w:rPr>
        <w:t>0.13</w:t>
      </w:r>
      <w:r>
        <w:rPr>
          <w:rFonts w:hint="eastAsia" w:eastAsia="仿宋_GB2312"/>
          <w:color w:val="auto"/>
          <w:sz w:val="32"/>
          <w:szCs w:val="32"/>
        </w:rPr>
        <w:t>%</w:t>
      </w:r>
      <w:r>
        <w:rPr>
          <w:rFonts w:eastAsia="仿宋_GB2312"/>
          <w:color w:val="auto"/>
          <w:sz w:val="32"/>
          <w:szCs w:val="32"/>
        </w:rPr>
        <w:t>；</w:t>
      </w:r>
      <w:r>
        <w:rPr>
          <w:rFonts w:hint="eastAsia" w:ascii="仿宋" w:hAnsi="仿宋" w:eastAsia="仿宋" w:cs="仿宋"/>
          <w:bCs/>
          <w:sz w:val="32"/>
          <w:szCs w:val="32"/>
        </w:rPr>
        <w:t>具体安排情况如下：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（一）基本支出：</w:t>
      </w:r>
      <w:r>
        <w:rPr>
          <w:rFonts w:hint="eastAsia" w:ascii="仿宋" w:hAnsi="仿宋" w:eastAsia="仿宋" w:cs="仿宋"/>
          <w:bCs/>
          <w:sz w:val="32"/>
          <w:szCs w:val="32"/>
        </w:rPr>
        <w:t>2021年预算数为395.09万元，是指保障单位机构正常运转、完成日常工作任务而发生的各项支出，包括用于基本工资、津贴补贴等人员经费以及办公费、印刷费、水电费、办公设备购置等日常公用经费。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（二）项目支出：</w:t>
      </w:r>
      <w:r>
        <w:rPr>
          <w:rFonts w:hint="eastAsia" w:ascii="仿宋" w:hAnsi="仿宋" w:eastAsia="仿宋" w:cs="仿宋"/>
          <w:bCs/>
          <w:sz w:val="32"/>
          <w:szCs w:val="32"/>
        </w:rPr>
        <w:t>2021年预算数为18593万元，是指单位为完成特定行政工作任务或事业发展目标而发生的支出，其中：城乡居民基本养老保险补助2850万元、其他人力资源和社会保障管理事务支出385万元、机关事业单位养老保险基金补助15175万元、财政对企业养老保险基金的补助160万元、一般行政管理事务23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五、政府性基金预算支出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（一）机关运行经费：</w:t>
      </w:r>
      <w:r>
        <w:rPr>
          <w:rFonts w:hint="eastAsia" w:ascii="仿宋" w:hAnsi="仿宋" w:eastAsia="仿宋" w:cs="仿宋"/>
          <w:bCs/>
          <w:sz w:val="32"/>
          <w:szCs w:val="32"/>
        </w:rPr>
        <w:t>2021年机关运行经费财政拨款预算30.54万元，比2020年预算减少0.57万元，减少1.83%。主要原因是厉行节约等。</w:t>
      </w:r>
    </w:p>
    <w:p>
      <w:pPr>
        <w:pStyle w:val="4"/>
        <w:widowControl/>
        <w:spacing w:beforeAutospacing="0" w:afterAutospacing="0" w:line="432" w:lineRule="atLeast"/>
        <w:ind w:firstLine="643" w:firstLineChars="200"/>
        <w:rPr>
          <w:rFonts w:hint="default" w:ascii="仿宋" w:hAnsi="仿宋" w:eastAsia="仿宋" w:cs="仿宋"/>
          <w:bCs/>
          <w:color w:val="auto"/>
          <w:sz w:val="32"/>
          <w:szCs w:val="32"/>
          <w:lang w:val="en-US" w:eastAsia="zh-CN"/>
        </w:rPr>
      </w:pPr>
      <w:r>
        <w:rPr>
          <w:rFonts w:hint="eastAsia" w:ascii="仿宋" w:hAnsi="仿宋" w:eastAsia="仿宋" w:cs="仿宋"/>
          <w:b/>
          <w:sz w:val="32"/>
          <w:szCs w:val="32"/>
        </w:rPr>
        <w:t>（二）“三公”经费预算：</w:t>
      </w:r>
      <w:r>
        <w:rPr>
          <w:rFonts w:hint="eastAsia" w:ascii="仿宋" w:hAnsi="仿宋" w:eastAsia="仿宋" w:cs="仿宋"/>
          <w:bCs/>
          <w:sz w:val="32"/>
          <w:szCs w:val="32"/>
        </w:rPr>
        <w:t>2021年“三公”经费预算数为0万元，其中，公务接待费0万元，公务用车购置及运行费0万元（其中，公务用车购置费0万元，公务用车运行费0万元），因公出国（境）费0万元。2021年“三公”经费预算较2020年持平，</w:t>
      </w:r>
      <w:r>
        <w:rPr>
          <w:rFonts w:hint="eastAsia" w:ascii="仿宋" w:hAnsi="仿宋" w:eastAsia="仿宋" w:cs="仿宋"/>
          <w:bCs/>
          <w:color w:val="auto"/>
          <w:sz w:val="32"/>
          <w:szCs w:val="32"/>
          <w:lang w:val="en-US" w:eastAsia="zh-CN"/>
        </w:rPr>
        <w:t>主要原因是厉行节约。</w:t>
      </w:r>
    </w:p>
    <w:p>
      <w:pPr>
        <w:widowControl/>
        <w:spacing w:line="600" w:lineRule="exact"/>
        <w:ind w:firstLine="660"/>
        <w:rPr>
          <w:rFonts w:ascii="仿宋" w:hAnsi="仿宋" w:eastAsia="仿宋" w:cs="仿宋"/>
          <w:b/>
          <w:color w:val="auto"/>
          <w:sz w:val="32"/>
          <w:szCs w:val="32"/>
        </w:rPr>
      </w:pPr>
      <w:r>
        <w:rPr>
          <w:rFonts w:hint="eastAsia" w:ascii="仿宋" w:hAnsi="仿宋" w:eastAsia="仿宋" w:cs="仿宋"/>
          <w:b/>
          <w:color w:val="auto"/>
          <w:sz w:val="32"/>
          <w:szCs w:val="32"/>
          <w:highlight w:val="none"/>
          <w:u w:val="none"/>
        </w:rPr>
        <w:t>（三）一般性支出情况：</w:t>
      </w:r>
      <w:r>
        <w:rPr>
          <w:rFonts w:hint="eastAsia" w:ascii="仿宋" w:hAnsi="仿宋" w:eastAsia="仿宋" w:cs="仿宋"/>
          <w:bCs/>
          <w:color w:val="auto"/>
          <w:sz w:val="32"/>
          <w:szCs w:val="32"/>
          <w:highlight w:val="none"/>
          <w:u w:val="none"/>
        </w:rPr>
        <w:t>2021</w:t>
      </w:r>
      <w:r>
        <w:rPr>
          <w:rFonts w:hint="eastAsia" w:ascii="仿宋" w:hAnsi="仿宋" w:eastAsia="仿宋" w:cs="仿宋"/>
          <w:color w:val="auto"/>
          <w:kern w:val="0"/>
          <w:sz w:val="32"/>
          <w:szCs w:val="32"/>
          <w:highlight w:val="none"/>
          <w:u w:val="none"/>
        </w:rPr>
        <w:t>年本部门会议费预算</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kern w:val="0"/>
          <w:sz w:val="32"/>
          <w:szCs w:val="32"/>
          <w:highlight w:val="none"/>
          <w:u w:val="none"/>
        </w:rPr>
        <w:t>万元</w:t>
      </w:r>
      <w:r>
        <w:rPr>
          <w:rFonts w:hint="eastAsia" w:ascii="仿宋" w:hAnsi="仿宋" w:eastAsia="仿宋" w:cs="仿宋"/>
          <w:color w:val="auto"/>
          <w:kern w:val="0"/>
          <w:sz w:val="32"/>
          <w:szCs w:val="32"/>
          <w:highlight w:val="none"/>
          <w:u w:val="none"/>
          <w:lang w:val="en-US" w:eastAsia="zh-CN"/>
        </w:rPr>
        <w:t>0；</w:t>
      </w:r>
      <w:r>
        <w:rPr>
          <w:rFonts w:hint="eastAsia" w:ascii="仿宋" w:hAnsi="仿宋" w:eastAsia="仿宋" w:cs="仿宋"/>
          <w:color w:val="auto"/>
          <w:kern w:val="0"/>
          <w:sz w:val="32"/>
          <w:szCs w:val="32"/>
          <w:highlight w:val="none"/>
          <w:u w:val="none"/>
        </w:rPr>
        <w:t>培训费预算</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kern w:val="0"/>
          <w:sz w:val="32"/>
          <w:szCs w:val="32"/>
          <w:highlight w:val="none"/>
          <w:u w:val="none"/>
        </w:rPr>
        <w:t>万元</w:t>
      </w:r>
      <w:r>
        <w:rPr>
          <w:rFonts w:hint="eastAsia" w:ascii="仿宋" w:hAnsi="仿宋" w:eastAsia="仿宋" w:cs="仿宋"/>
          <w:color w:val="auto"/>
          <w:kern w:val="0"/>
          <w:sz w:val="32"/>
          <w:szCs w:val="32"/>
          <w:highlight w:val="none"/>
          <w:u w:val="none"/>
          <w:lang w:val="en-US" w:eastAsia="zh-CN"/>
        </w:rPr>
        <w:t>0</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val="en-US" w:eastAsia="zh-CN"/>
        </w:rPr>
        <w:t>未</w:t>
      </w:r>
      <w:r>
        <w:rPr>
          <w:rFonts w:hint="eastAsia" w:ascii="仿宋" w:hAnsi="仿宋" w:eastAsia="仿宋" w:cs="仿宋"/>
          <w:color w:val="auto"/>
          <w:kern w:val="0"/>
          <w:sz w:val="32"/>
          <w:szCs w:val="32"/>
          <w:highlight w:val="none"/>
          <w:u w:val="none"/>
        </w:rPr>
        <w:t>举办节庆、晚会、论坛、赛事活动。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（四）政府采购情况：</w:t>
      </w:r>
      <w:r>
        <w:rPr>
          <w:rFonts w:hint="eastAsia" w:ascii="仿宋" w:hAnsi="仿宋" w:eastAsia="仿宋" w:cs="仿宋"/>
          <w:bCs/>
          <w:sz w:val="32"/>
          <w:szCs w:val="32"/>
        </w:rPr>
        <w:t>2021年政府采购预算总额0.55万元，其中：政府采购货物预算0.55万元、政府采购工程预算0万元、政府采购服务预算0万元。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（五）国有资产占用使用及新增资产配置情况：</w:t>
      </w:r>
      <w:r>
        <w:rPr>
          <w:rFonts w:hint="eastAsia" w:ascii="仿宋" w:hAnsi="仿宋" w:eastAsia="仿宋" w:cs="仿宋"/>
          <w:bCs/>
          <w:sz w:val="32"/>
          <w:szCs w:val="32"/>
        </w:rPr>
        <w:t>截至2020年12月31日，本部门共有车辆0辆，其中，领导干部用车0辆、一般公务用车0辆、一般执法执勤用车0辆、特种专业技术用车0辆、其他用车0辆；单位价值50万元以上通用设备0台（套），单价100万元以上专用设备0台（套）。</w:t>
      </w:r>
    </w:p>
    <w:p>
      <w:pPr>
        <w:pStyle w:val="4"/>
        <w:widowControl/>
        <w:spacing w:beforeAutospacing="0" w:afterAutospacing="0" w:line="432" w:lineRule="atLeast"/>
        <w:rPr>
          <w:rFonts w:ascii="仿宋" w:hAnsi="仿宋" w:eastAsia="仿宋" w:cs="仿宋"/>
          <w:bCs/>
          <w:color w:val="auto"/>
          <w:sz w:val="32"/>
          <w:szCs w:val="32"/>
          <w:highlight w:val="none"/>
          <w:u w:val="none"/>
        </w:rPr>
      </w:pPr>
      <w:bookmarkStart w:id="0" w:name="_GoBack"/>
      <w:r>
        <w:rPr>
          <w:rFonts w:hint="eastAsia" w:ascii="仿宋" w:hAnsi="仿宋" w:eastAsia="仿宋" w:cs="仿宋"/>
          <w:bCs/>
          <w:color w:val="auto"/>
          <w:sz w:val="32"/>
          <w:szCs w:val="32"/>
          <w:highlight w:val="none"/>
          <w:u w:val="none"/>
        </w:rPr>
        <w:t>2021年拟新增配置公务用车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辆，其中，机要通信用车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辆，应急保障用车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辆，执法执勤用车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辆，特种专业技术用车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辆，其他按照规定配备的公务用车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辆；新增配备单位价值50万元以上通用设备</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台，单位价值100万元以上专用设备</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台。</w:t>
      </w:r>
    </w:p>
    <w:bookmarkEnd w:id="0"/>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bCs/>
          <w:sz w:val="32"/>
          <w:szCs w:val="32"/>
        </w:rPr>
        <w:t>（六）预算绩效目标说明：</w:t>
      </w:r>
      <w:r>
        <w:rPr>
          <w:rFonts w:hint="eastAsia" w:ascii="仿宋" w:hAnsi="仿宋" w:eastAsia="仿宋" w:cs="仿宋"/>
          <w:bCs/>
          <w:sz w:val="32"/>
          <w:szCs w:val="32"/>
        </w:rPr>
        <w:t>按照市本级预算绩效管理工作的总体要求，2021年开福区社保中心整体支出18988.09万元，全部实行整体支出绩效目标管理，编报绩效目标的项目5个，涉及项目支出18593万元，其中：社保工作专项经费项目23万元；企业退休人员社会化管理服务经费项目385万元，城乡居民基本养老保险区级财政补助项目2850万元，企业基本养老保险同级财政补助项目160万，机关养老保险区级财政补助项目15175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widowControl/>
        <w:spacing w:line="600" w:lineRule="exact"/>
        <w:rPr>
          <w:rFonts w:eastAsia="仿宋_GB2312"/>
          <w:sz w:val="32"/>
          <w:szCs w:val="32"/>
        </w:rPr>
      </w:pPr>
    </w:p>
    <w:p>
      <w:pPr>
        <w:rPr>
          <w:rFonts w:ascii="仿宋" w:hAnsi="仿宋" w:eastAsia="仿宋" w:cs="仿宋"/>
          <w:sz w:val="32"/>
          <w:szCs w:val="32"/>
        </w:rPr>
      </w:pPr>
    </w:p>
    <w:p>
      <w:pPr>
        <w:pStyle w:val="4"/>
        <w:widowControl/>
        <w:shd w:val="clear" w:color="auto" w:fill="FFFFFF"/>
        <w:spacing w:before="24" w:beforeAutospacing="0" w:after="24" w:afterAutospacing="0" w:line="420" w:lineRule="atLeast"/>
        <w:ind w:firstLine="640" w:firstLineChars="200"/>
        <w:jc w:val="both"/>
        <w:rPr>
          <w:rFonts w:ascii="仿宋" w:hAnsi="仿宋" w:eastAsia="仿宋" w:cs="仿宋"/>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MTA1MzJjODE0YTYzODNkZDhiNzZkZjE3NjYyNTkifQ=="/>
  </w:docVars>
  <w:rsids>
    <w:rsidRoot w:val="30706D50"/>
    <w:rsid w:val="006F6549"/>
    <w:rsid w:val="00706BC0"/>
    <w:rsid w:val="0082118E"/>
    <w:rsid w:val="008D512F"/>
    <w:rsid w:val="00BD3940"/>
    <w:rsid w:val="00C04DAB"/>
    <w:rsid w:val="00CB3CBC"/>
    <w:rsid w:val="00E13127"/>
    <w:rsid w:val="00E16699"/>
    <w:rsid w:val="09BB1324"/>
    <w:rsid w:val="1F303D33"/>
    <w:rsid w:val="28601E72"/>
    <w:rsid w:val="30706D50"/>
    <w:rsid w:val="738A1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2323</Words>
  <Characters>2542</Characters>
  <Lines>19</Lines>
  <Paragraphs>5</Paragraphs>
  <TotalTime>209</TotalTime>
  <ScaleCrop>false</ScaleCrop>
  <LinksUpToDate>false</LinksUpToDate>
  <CharactersWithSpaces>2546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2022-06-28T08:57:00Z</dcterms:created>
  <dc:creator>燕子</dc:creator>
  <cp:lastModifiedBy>人参米</cp:lastModifiedBy>
  <dcterms:modified xsi:type="dcterms:W3CDTF">2022-08-19T06:11:16Z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4F741FE630EF4EC4B2483CDCB6B6B989</vt:lpwstr>
  </property>
</Properties>
</file>