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default" w:ascii="Times New Roman" w:hAnsi="Times New Roman" w:eastAsia="方正大标宋简体" w:cs="Times New Roman"/>
          <w:color w:val="auto"/>
          <w:sz w:val="44"/>
          <w:szCs w:val="44"/>
        </w:rPr>
      </w:pPr>
      <w:r>
        <w:rPr>
          <w:rFonts w:hint="eastAsia" w:ascii="Times New Roman" w:hAnsi="Times New Roman" w:eastAsia="方正大标宋简体" w:cs="Times New Roman"/>
          <w:color w:val="auto"/>
          <w:sz w:val="44"/>
          <w:szCs w:val="44"/>
          <w:lang w:val="en-US" w:eastAsia="zh-CN"/>
        </w:rPr>
        <w:t>2020</w:t>
      </w:r>
      <w:r>
        <w:rPr>
          <w:rFonts w:hint="default" w:ascii="Times New Roman" w:hAnsi="Times New Roman" w:eastAsia="方正大标宋简体" w:cs="Times New Roman"/>
          <w:color w:val="auto"/>
          <w:sz w:val="44"/>
          <w:szCs w:val="44"/>
        </w:rPr>
        <w:t>年度</w:t>
      </w:r>
      <w:r>
        <w:rPr>
          <w:rFonts w:hint="eastAsia" w:ascii="Times New Roman" w:hAnsi="Times New Roman" w:eastAsia="方正大标宋简体" w:cs="Times New Roman"/>
          <w:color w:val="auto"/>
          <w:sz w:val="44"/>
          <w:szCs w:val="44"/>
          <w:lang w:eastAsia="zh-CN"/>
        </w:rPr>
        <w:t>开福区社保中心</w:t>
      </w:r>
      <w:r>
        <w:rPr>
          <w:rFonts w:hint="default" w:ascii="Times New Roman" w:hAnsi="Times New Roman" w:eastAsia="方正大标宋简体" w:cs="Times New Roman"/>
          <w:color w:val="auto"/>
          <w:sz w:val="44"/>
          <w:szCs w:val="44"/>
        </w:rPr>
        <w:t>整体支出</w:t>
      </w:r>
    </w:p>
    <w:p>
      <w:pPr>
        <w:pStyle w:val="5"/>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Times New Roman" w:hAnsi="Times New Roman" w:eastAsia="方正大标宋简体" w:cs="Times New Roman"/>
          <w:color w:val="auto"/>
          <w:sz w:val="44"/>
          <w:szCs w:val="44"/>
          <w:lang w:eastAsia="zh-CN"/>
        </w:rPr>
      </w:pPr>
      <w:r>
        <w:rPr>
          <w:rFonts w:hint="eastAsia" w:ascii="Times New Roman" w:hAnsi="Times New Roman" w:eastAsia="方正大标宋简体" w:cs="Times New Roman"/>
          <w:color w:val="auto"/>
          <w:sz w:val="44"/>
          <w:szCs w:val="44"/>
          <w:lang w:eastAsia="zh-CN"/>
        </w:rPr>
        <w:t>绩效评价报告</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cs="黑体"/>
          <w:b w:val="0"/>
          <w:bCs w:val="0"/>
          <w:i w:val="0"/>
          <w:iCs w:val="0"/>
          <w:color w:val="auto"/>
          <w:sz w:val="32"/>
          <w:szCs w:val="32"/>
        </w:rPr>
      </w:pPr>
      <w:r>
        <w:rPr>
          <w:rFonts w:hint="eastAsia" w:hAnsi="黑体" w:cs="黑体"/>
          <w:b w:val="0"/>
          <w:bCs w:val="0"/>
          <w:i w:val="0"/>
          <w:iCs w:val="0"/>
          <w:color w:val="auto"/>
          <w:sz w:val="32"/>
          <w:szCs w:val="32"/>
          <w:lang w:eastAsia="zh-CN"/>
        </w:rPr>
        <w:t>一、</w:t>
      </w:r>
      <w:r>
        <w:rPr>
          <w:rFonts w:hint="eastAsia" w:ascii="黑体" w:hAnsi="黑体" w:eastAsia="黑体" w:cs="黑体"/>
          <w:b w:val="0"/>
          <w:bCs w:val="0"/>
          <w:i w:val="0"/>
          <w:iCs w:val="0"/>
          <w:color w:val="auto"/>
          <w:sz w:val="32"/>
          <w:szCs w:val="32"/>
        </w:rPr>
        <w:t>部门概况</w:t>
      </w:r>
    </w:p>
    <w:p>
      <w:pPr>
        <w:widowControl/>
        <w:snapToGrid w:val="0"/>
        <w:spacing w:line="60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长沙市开福区社会保险服务中心</w:t>
      </w:r>
      <w:r>
        <w:rPr>
          <w:rFonts w:hint="default" w:ascii="Times New Roman" w:hAnsi="Times New Roman" w:eastAsia="仿宋_GB2312" w:cs="Times New Roman"/>
          <w:i w:val="0"/>
          <w:caps w:val="0"/>
          <w:color w:val="000000" w:themeColor="text1"/>
          <w:spacing w:val="0"/>
          <w:kern w:val="0"/>
          <w:sz w:val="32"/>
          <w:szCs w:val="24"/>
          <w:shd w:val="clear" w:fill="FFFFFF"/>
          <w:lang w:val="en-US" w:eastAsia="zh-CN" w:bidi="ar"/>
          <w14:textFill>
            <w14:solidFill>
              <w14:schemeClr w14:val="tx1"/>
            </w14:solidFill>
          </w14:textFill>
        </w:rPr>
        <w:t>为长沙市开福区人力资源和社会保障局下设的二级机构，未再另设科室，</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由1个全额拨款的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副科级公益类</w:t>
      </w:r>
      <w:r>
        <w:rPr>
          <w:rFonts w:hint="default" w:ascii="Times New Roman" w:hAnsi="Times New Roman" w:eastAsia="仿宋_GB2312" w:cs="Times New Roman"/>
          <w:color w:val="000000" w:themeColor="text1"/>
          <w:sz w:val="32"/>
          <w:szCs w:val="32"/>
          <w14:textFill>
            <w14:solidFill>
              <w14:schemeClr w14:val="tx1"/>
            </w14:solidFill>
          </w14:textFill>
        </w:rPr>
        <w:t>事业单位组成</w:t>
      </w:r>
      <w:r>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本部门编制数1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人，年末在职人数</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9人，其中：在岗人数19人；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编外长期聘用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人；退休人员1人。</w:t>
      </w:r>
    </w:p>
    <w:p>
      <w:pPr>
        <w:pStyle w:val="5"/>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cs="黑体"/>
          <w:b w:val="0"/>
          <w:bCs w:val="0"/>
          <w:i w:val="0"/>
          <w:iCs w:val="0"/>
          <w:color w:val="auto"/>
          <w:sz w:val="32"/>
          <w:szCs w:val="32"/>
        </w:rPr>
      </w:pPr>
      <w:r>
        <w:rPr>
          <w:rFonts w:hint="eastAsia" w:hAnsi="黑体" w:cs="黑体"/>
          <w:b w:val="0"/>
          <w:bCs w:val="0"/>
          <w:i w:val="0"/>
          <w:iCs w:val="0"/>
          <w:color w:val="auto"/>
          <w:sz w:val="32"/>
          <w:szCs w:val="32"/>
          <w:lang w:eastAsia="zh-CN"/>
        </w:rPr>
        <w:t>二、</w:t>
      </w:r>
      <w:r>
        <w:rPr>
          <w:rFonts w:hint="eastAsia" w:ascii="黑体" w:hAnsi="黑体" w:eastAsia="黑体" w:cs="黑体"/>
          <w:b w:val="0"/>
          <w:bCs w:val="0"/>
          <w:i w:val="0"/>
          <w:iCs w:val="0"/>
          <w:color w:val="auto"/>
          <w:sz w:val="32"/>
          <w:szCs w:val="32"/>
        </w:rPr>
        <w:t>部门整体支出管理及使用情况</w:t>
      </w:r>
    </w:p>
    <w:p>
      <w:pPr>
        <w:widowControl/>
        <w:snapToGrid w:val="0"/>
        <w:spacing w:line="600" w:lineRule="exact"/>
        <w:ind w:firstLine="643"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楷体" w:hAnsi="楷体" w:eastAsia="楷体" w:cs="楷体"/>
          <w:b/>
          <w:bCs/>
          <w:kern w:val="0"/>
          <w:sz w:val="32"/>
          <w:szCs w:val="32"/>
          <w:lang w:val="en-US" w:eastAsia="zh-CN"/>
        </w:rPr>
        <w:t>（一）部门支出总体情况</w:t>
      </w:r>
    </w:p>
    <w:p>
      <w:pPr>
        <w:widowControl/>
        <w:snapToGrid w:val="0"/>
        <w:spacing w:line="600" w:lineRule="exact"/>
        <w:ind w:firstLine="640" w:firstLineChars="200"/>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20</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年度</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整体支出</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合计</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18960.36</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万元，其中：基本支出</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18936.36</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万元，占</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99.87</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%；项目支出</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万元，占</w:t>
      </w: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0.13</w:t>
      </w:r>
      <w:r>
        <w:rPr>
          <w:rFonts w:hint="default" w:ascii="Times New Roman" w:hAnsi="Times New Roman" w:eastAsia="仿宋_GB2312" w:cs="Times New Roman"/>
          <w:i w:val="0"/>
          <w:iCs w:val="0"/>
          <w:color w:val="000000" w:themeColor="text1"/>
          <w:sz w:val="32"/>
          <w:szCs w:val="32"/>
          <w:lang w:val="en-US" w:eastAsia="zh-CN"/>
          <w14:textFill>
            <w14:solidFill>
              <w14:schemeClr w14:val="tx1"/>
            </w14:solidFill>
          </w14:textFill>
        </w:rPr>
        <w:t>%。</w:t>
      </w:r>
    </w:p>
    <w:p>
      <w:pPr>
        <w:widowControl/>
        <w:snapToGrid w:val="0"/>
        <w:spacing w:line="600" w:lineRule="exact"/>
        <w:ind w:firstLine="643" w:firstLineChars="200"/>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（二）财政拨款收入、支出分析</w:t>
      </w:r>
    </w:p>
    <w:p>
      <w:pPr>
        <w:widowControl/>
        <w:snapToGrid w:val="0"/>
        <w:spacing w:line="600" w:lineRule="exact"/>
        <w:ind w:firstLine="640"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本年度财政拨款收入18971.54万元，本年度支出18960.36万元，分为基本支出和项目支出。基本支出18936.36万元，其中人员经费18905.68万元，占总支出的99.71%；公用经费30.68万元，占总支出的0.16%。项目支出24万元，占总支出的0.13%。本年度收入和支出主要是人员工资、办公经费、专项工资经费、财政对社保基金的补助和退休人员社会化管理服务经费等。</w:t>
      </w:r>
    </w:p>
    <w:p>
      <w:pPr>
        <w:widowControl/>
        <w:snapToGrid w:val="0"/>
        <w:spacing w:line="600" w:lineRule="exact"/>
        <w:ind w:firstLine="643"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楷体" w:hAnsi="楷体" w:eastAsia="楷体" w:cs="楷体"/>
          <w:b/>
          <w:bCs/>
          <w:kern w:val="0"/>
          <w:sz w:val="32"/>
          <w:szCs w:val="32"/>
          <w:lang w:val="en-US" w:eastAsia="zh-CN"/>
        </w:rPr>
        <w:t>（三）年末结转和结余情况。</w:t>
      </w:r>
    </w:p>
    <w:p>
      <w:pPr>
        <w:widowControl/>
        <w:snapToGrid w:val="0"/>
        <w:spacing w:line="600" w:lineRule="exact"/>
        <w:ind w:firstLine="640"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本年度资金结转101.06万元，分别为：企业退休人员社会化管理服务经费结转93.41万元，人员经费结转7.01万元，其他应收款0.64万元。</w:t>
      </w:r>
    </w:p>
    <w:p>
      <w:pPr>
        <w:widowControl/>
        <w:snapToGrid w:val="0"/>
        <w:spacing w:line="600" w:lineRule="exact"/>
        <w:ind w:firstLine="640"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结余规模较大的主要原因是2020年底财政下达了指标93.41万元（企业退休人员社会化管理服务经费）未使用。</w:t>
      </w:r>
    </w:p>
    <w:p>
      <w:pPr>
        <w:pStyle w:val="5"/>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黑体" w:hAnsi="黑体" w:eastAsia="黑体" w:cs="黑体"/>
          <w:b w:val="0"/>
          <w:bCs w:val="0"/>
          <w:i w:val="0"/>
          <w:iCs w:val="0"/>
          <w:color w:val="auto"/>
          <w:sz w:val="32"/>
          <w:szCs w:val="32"/>
          <w:lang w:val="en-US" w:eastAsia="zh-CN"/>
        </w:rPr>
      </w:pPr>
      <w:r>
        <w:rPr>
          <w:rFonts w:hint="eastAsia" w:ascii="黑体" w:hAnsi="黑体" w:eastAsia="黑体" w:cs="黑体"/>
          <w:b w:val="0"/>
          <w:bCs w:val="0"/>
          <w:i w:val="0"/>
          <w:iCs w:val="0"/>
          <w:color w:val="auto"/>
          <w:sz w:val="32"/>
          <w:szCs w:val="32"/>
          <w:lang w:val="en-US" w:eastAsia="zh-CN"/>
        </w:rPr>
        <w:t>三、部门整体支出绩效情况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kern w:val="0"/>
          <w:sz w:val="32"/>
          <w:szCs w:val="32"/>
          <w:lang w:val="en-US" w:eastAsia="zh-CN"/>
        </w:rPr>
      </w:pPr>
      <w:r>
        <w:rPr>
          <w:rFonts w:hint="eastAsia" w:ascii="楷体" w:hAnsi="楷体" w:eastAsia="楷体" w:cs="楷体"/>
          <w:b/>
          <w:bCs/>
          <w:kern w:val="0"/>
          <w:sz w:val="32"/>
          <w:szCs w:val="32"/>
          <w:lang w:val="en-US" w:eastAsia="zh-CN"/>
        </w:rPr>
        <w:t>（一）织密扎牢社会保障网，积极推进社会保险全覆盖</w:t>
      </w:r>
    </w:p>
    <w:p>
      <w:pPr>
        <w:widowControl/>
        <w:snapToGrid w:val="0"/>
        <w:spacing w:line="600" w:lineRule="exact"/>
        <w:ind w:firstLine="640"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我中心继2019年全面完成省厅布置的全民参保登记工作后，2020年全面落实社会保险全覆盖工作。我中心克服疫情带来的困难，组织街道、社区逐人核实个人基础信息和参保资格，凡未参加企业职工基本养老保险和机关事业养老保险的人员，有参保意愿的都参加城乡居民养老保险，特别对于有困难的四类群体（政府供养对象、重度残疾人员、计生优抚对象、低保户）都由政府为其代缴养老保险费。经过反复摸底，截止到10月，全面完成了任务，实现了居民养老保险覆盖率100%。</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 w:hAnsi="楷体" w:eastAsia="楷体" w:cs="楷体"/>
          <w:b/>
          <w:bCs/>
          <w:kern w:val="0"/>
          <w:sz w:val="32"/>
          <w:szCs w:val="32"/>
          <w:lang w:val="en-US" w:eastAsia="zh-CN"/>
        </w:rPr>
      </w:pPr>
      <w:r>
        <w:rPr>
          <w:rFonts w:hint="eastAsia" w:ascii="楷体" w:hAnsi="楷体" w:eastAsia="楷体" w:cs="楷体"/>
          <w:b/>
          <w:bCs/>
          <w:kern w:val="0"/>
          <w:sz w:val="32"/>
          <w:szCs w:val="32"/>
          <w:lang w:val="en-US" w:eastAsia="zh-CN"/>
        </w:rPr>
        <w:t>（二）充分挖掘社保降费潜力，全力支持实体经济发展，通过降低社保费率增加企业盈利能力和发展动力</w:t>
      </w:r>
    </w:p>
    <w:p>
      <w:pPr>
        <w:widowControl/>
        <w:snapToGrid w:val="0"/>
        <w:spacing w:line="600" w:lineRule="exact"/>
        <w:ind w:firstLine="640"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2020年，受疫情影响，为支持企业渡难关、保经营、稳发展，我中心坚决落实省《关于阶段性减免企业社会保险费的实施意见》，2月-12月免征中小微企业基本养老、失业、工伤保险单位缴费部分，2月-6月减半征收大型企业以及机关事业单位之外的其他单位以上三项社会保险单位缴费部分。截止到12月底，全区共计减免4.32亿元，有力支持了企业稳岗稳产工作，推动了企业基本养老保险费的征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kern w:val="0"/>
          <w:sz w:val="32"/>
          <w:szCs w:val="32"/>
          <w:lang w:val="en-US" w:eastAsia="zh-CN"/>
        </w:rPr>
      </w:pPr>
      <w:r>
        <w:rPr>
          <w:rFonts w:hint="eastAsia" w:ascii="楷体" w:hAnsi="楷体" w:eastAsia="楷体" w:cs="楷体"/>
          <w:b/>
          <w:bCs/>
          <w:kern w:val="0"/>
          <w:sz w:val="32"/>
          <w:szCs w:val="32"/>
          <w:lang w:val="en-US" w:eastAsia="zh-CN"/>
        </w:rPr>
        <w:t>（三）不断优化社保经办服务，努力提高服务质量</w:t>
      </w:r>
    </w:p>
    <w:p>
      <w:pPr>
        <w:widowControl/>
        <w:snapToGrid w:val="0"/>
        <w:spacing w:line="600" w:lineRule="exact"/>
        <w:ind w:firstLine="640"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深入推进“放管服”改革，推进“互联网+人社”信息化建设，以“四级九统”为标准，梳理人社业务100余项，实现人社事项“最多跑一次”。</w:t>
      </w:r>
    </w:p>
    <w:p>
      <w:pPr>
        <w:widowControl/>
        <w:snapToGrid w:val="0"/>
        <w:spacing w:line="600" w:lineRule="exact"/>
        <w:ind w:firstLine="640"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1.优化业务办理流程，灵活就业参保业务下放到街道、社区，灵活就业人员在“家门口”就能办理参保、续保、停保、咨询等各种业务。</w:t>
      </w:r>
    </w:p>
    <w:p>
      <w:pPr>
        <w:widowControl/>
        <w:snapToGrid w:val="0"/>
        <w:spacing w:line="600" w:lineRule="exact"/>
        <w:ind w:firstLine="640"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2.大力推广企业社保业务数字证书、长沙人社APP、人社门户网站等便捷办理通道，宣传“网上办、自助办”，实现单位参保登记、人员异动、信息修改、个人社保查询、养老认证、灵活就业参保、失业保险申领、失业补助金申领等业务办理“不出家门”。</w:t>
      </w:r>
    </w:p>
    <w:p>
      <w:pPr>
        <w:widowControl/>
        <w:snapToGrid w:val="0"/>
        <w:spacing w:line="600" w:lineRule="exact"/>
        <w:ind w:firstLine="640" w:firstLineChars="200"/>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i w:val="0"/>
          <w:iCs w:val="0"/>
          <w:color w:val="000000" w:themeColor="text1"/>
          <w:sz w:val="32"/>
          <w:szCs w:val="32"/>
          <w:lang w:val="en-US" w:eastAsia="zh-CN"/>
          <w14:textFill>
            <w14:solidFill>
              <w14:schemeClr w14:val="tx1"/>
            </w14:solidFill>
          </w14:textFill>
        </w:rPr>
        <w:t>3.创新企业退休人员社会化管理服务模式，组织社区创办了“快乐老年大学”。社区通过老年大学这个平台，不但能够组织退休人员在这里“学习新知，老有所乐”，而且能够人性化对退休人员进行了养老金资格认证，做到入学即认证，受到广大退休人员的热烈欢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MTA1MzJjODE0YTYzODNkZDhiNzZkZjE3NjYyNTkifQ=="/>
  </w:docVars>
  <w:rsids>
    <w:rsidRoot w:val="00000000"/>
    <w:rsid w:val="07E75680"/>
    <w:rsid w:val="0CE92C6C"/>
    <w:rsid w:val="10481D2D"/>
    <w:rsid w:val="15AA57E8"/>
    <w:rsid w:val="197C5DFD"/>
    <w:rsid w:val="1AB21CCD"/>
    <w:rsid w:val="1BA41F7F"/>
    <w:rsid w:val="27C12903"/>
    <w:rsid w:val="292D02ED"/>
    <w:rsid w:val="2CC21BE2"/>
    <w:rsid w:val="2D567B51"/>
    <w:rsid w:val="34992A58"/>
    <w:rsid w:val="35C648AE"/>
    <w:rsid w:val="370D776A"/>
    <w:rsid w:val="372C7B7D"/>
    <w:rsid w:val="382B0C48"/>
    <w:rsid w:val="39AE558F"/>
    <w:rsid w:val="3CF569A1"/>
    <w:rsid w:val="3DCE25CB"/>
    <w:rsid w:val="3E3B7D6E"/>
    <w:rsid w:val="3F95519B"/>
    <w:rsid w:val="454122DE"/>
    <w:rsid w:val="49614BCF"/>
    <w:rsid w:val="499867FB"/>
    <w:rsid w:val="4A8A3AA5"/>
    <w:rsid w:val="4DE917AA"/>
    <w:rsid w:val="4F714328"/>
    <w:rsid w:val="5C672715"/>
    <w:rsid w:val="60FA64A5"/>
    <w:rsid w:val="61981E05"/>
    <w:rsid w:val="640414F2"/>
    <w:rsid w:val="67180C37"/>
    <w:rsid w:val="68DD3B1B"/>
    <w:rsid w:val="69695D05"/>
    <w:rsid w:val="6BE1569C"/>
    <w:rsid w:val="6CB200A7"/>
    <w:rsid w:val="6D7F6BF4"/>
    <w:rsid w:val="71923C31"/>
    <w:rsid w:val="71E4443B"/>
    <w:rsid w:val="72900F93"/>
    <w:rsid w:val="742A5505"/>
    <w:rsid w:val="79DE219F"/>
    <w:rsid w:val="7F85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1313</Words>
  <Characters>1441</Characters>
  <Lines>0</Lines>
  <Paragraphs>0</Paragraphs>
  <TotalTime>4</TotalTime>
  <ScaleCrop>false</ScaleCrop>
  <LinksUpToDate>false</LinksUpToDate>
  <CharactersWithSpaces>1441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2020-09-28T01:07:00Z</dcterms:created>
  <dc:creator>admini</dc:creator>
  <cp:lastModifiedBy>人参米</cp:lastModifiedBy>
  <dcterms:modified xsi:type="dcterms:W3CDTF">2022-08-19T06:14:25Z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8A77AA0836344769BE24395215556560</vt:lpwstr>
  </property>
</Properties>
</file>