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201</w:t>
      </w:r>
      <w:r>
        <w:rPr>
          <w:rFonts w:hint="eastAsia" w:ascii="Times New Roman" w:hAnsi="Times New Roman" w:eastAsia="方正大标宋简体" w:cs="Times New Roman"/>
          <w:color w:val="auto"/>
          <w:sz w:val="44"/>
          <w:szCs w:val="44"/>
          <w:lang w:val="en-US" w:eastAsia="zh-CN"/>
        </w:rPr>
        <w:t>8</w:t>
      </w: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年度</w:t>
      </w:r>
      <w:r>
        <w:rPr>
          <w:rFonts w:hint="eastAsia" w:ascii="Times New Roman" w:hAnsi="Times New Roman" w:eastAsia="方正大标宋简体" w:cs="Times New Roman"/>
          <w:color w:val="auto"/>
          <w:sz w:val="44"/>
          <w:szCs w:val="44"/>
          <w:lang w:eastAsia="zh-CN"/>
        </w:rPr>
        <w:t>开福区社保中心</w:t>
      </w: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整体支出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绩效评价报告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</w:rPr>
        <w:t>部门概况</w:t>
      </w:r>
    </w:p>
    <w:p>
      <w:pPr>
        <w:widowControl/>
        <w:ind w:firstLine="640" w:firstLineChars="200"/>
        <w:jc w:val="lef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长沙市开福区社会保障管理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中心为长沙市开福区人力资源和社会保障局下设的二级机构，未再另设科室，由 1 个全额拨款的参照公务员管理事业单位组成。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本部门编制数 10 人，在职人数 10人，其中：在岗人数 10人；编外长期聘用人员 8 人；离退休人数 1 人，其中离休人员 0 人，退休人员 1 人。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</w:rPr>
        <w:t>部门整体支出管理及使用情况</w:t>
      </w:r>
    </w:p>
    <w:p>
      <w:pPr>
        <w:widowControl/>
        <w:ind w:firstLine="640" w:firstLineChars="200"/>
        <w:jc w:val="both"/>
        <w:rPr>
          <w:rFonts w:hint="eastAsia" w:ascii="Times New Roman" w:hAnsi="Times New Roman" w:eastAsia="仿宋_GB2312" w:cs="Times New Roman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olor w:val="auto"/>
          <w:sz w:val="32"/>
          <w:szCs w:val="32"/>
          <w:lang w:val="en-US" w:eastAsia="zh-CN"/>
        </w:rPr>
        <w:t>（一）部门支出总体情况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201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年度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整体支出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合计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15808.39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万元，其中：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基本支出15779.39万元，占99.82%，项目支出29万元，占0.18%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财政拨款收入、支出分析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财政拨款本年度支出15808.39万元，分基本支出和项目支出。基本支出15779.39万元，其中人员经费15744.99万元，占总支出的99.60%；日常公用经费34.4万元，占总支出的0.22%。项目支出29万元，其中行政事业类项目29万元，占总支出的0.18%。支出比去年减少10568.39万元(减少40.07%)，主要财政对社保基金的补助减少。</w:t>
      </w:r>
    </w:p>
    <w:p>
      <w:pPr>
        <w:snapToGrid w:val="0"/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（三）年末结转和结余情况。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本年度资金结转111352.59元，分别为：企业退休人员社会化管理服务经费结转10万元，公用经费结转0.5万元，其他应收款6352.59元。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结余规模较大的主要原因是2018年底财政下达了指标10万元（企业退休人员社会化管理服务经费）未使用。采取的措施是2019年根据政策使用该笔经费。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  <w:lang w:val="en-US" w:eastAsia="zh-CN"/>
        </w:rPr>
        <w:t>三、部门整体支出绩效情况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2018年以来，我中心在市局和区委、区政府的高度重视和支持下，认真贯彻落实中央及省、市劳动保障工作会议精神和各项政策法规，坚持以科学发展观为统领，不断加大社会保险扩面和基金征缴力度，继续确保基本养老金的按时足额发放，进一步完善规范社保基金管理，尽力完成市、区两级下达的社保保障各项目标任务，为推进全区经济社会又好又快的发展发挥了积极的作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一是推进社保征管职责划转工作，做到行动快、底子清。机构改革启动后，我中心按照省市统一部署，成立了社会保险费征管职责划转工作领导小组，不折不扣落实社会保险征管体制改革工作任务，对征缴职能、数据、人员进行全面清理，确保按期实现税务机关统一征收的工作目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二是完成养老保险断档补缴任务，做到宣传广、覆盖全。今年6月，我中心按照湘人社〔2017〕年103号文件，对灵活就业人员进行社保断档欠费补缴。此项工作时间紧，任务重，我局通过增设窗口、增加缴费平台、延长工作时间等措施确保了补缴任务的顺利完成。6月至9月，我中心补缴窗口日均接待量达800人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三是提升社会保障政务服务水平，做到措施实，服务优。创新企业退休人员社会化管理服务，打造了7家“快乐老年大学”，养老金资格认证方式更加多元化；深化“放管服”改革，从规范经办依据、办理流程等20项属性入手，全面梳理了涉及人社的100余项权力清单和公共服务事项，95%以上事项实现“四办”。</w:t>
      </w:r>
    </w:p>
    <w:p>
      <w:pPr>
        <w:numPr>
          <w:ilvl w:val="0"/>
          <w:numId w:val="0"/>
        </w:numPr>
        <w:snapToGrid w:val="0"/>
        <w:spacing w:line="520" w:lineRule="exact"/>
        <w:ind w:leftChars="0" w:firstLine="640" w:firstLineChars="200"/>
        <w:rPr>
          <w:rFonts w:hint="eastAsia" w:ascii="宋体" w:hAnsi="宋体"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520" w:lineRule="exact"/>
        <w:ind w:leftChars="0"/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_GB2312" w:hAnsi="仿宋" w:eastAsia="仿宋_GB2312"/>
          <w:b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</w:rPr>
      </w:pPr>
    </w:p>
    <w:p>
      <w:pPr>
        <w:widowControl/>
        <w:ind w:firstLine="640" w:firstLineChars="200"/>
        <w:jc w:val="both"/>
        <w:rPr>
          <w:rFonts w:hint="eastAsia" w:ascii="Times New Roman" w:hAnsi="Times New Roman" w:eastAsia="仿宋_GB2312" w:cs="Times New Roman"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黑体" w:cs="Times New Roman"/>
          <w:b/>
          <w:bCs/>
          <w:i w:val="0"/>
          <w:iCs w:val="0"/>
          <w:color w:val="auto"/>
          <w:sz w:val="32"/>
          <w:szCs w:val="32"/>
          <w:lang w:eastAsia="zh-CN"/>
        </w:rPr>
      </w:pPr>
    </w:p>
    <w:p>
      <w:pPr>
        <w:pStyle w:val="2"/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AE530"/>
    <w:multiLevelType w:val="singleLevel"/>
    <w:tmpl w:val="9E8AE53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EA1182E"/>
    <w:multiLevelType w:val="singleLevel"/>
    <w:tmpl w:val="BEA118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75680"/>
    <w:rsid w:val="0CE92C6C"/>
    <w:rsid w:val="10481D2D"/>
    <w:rsid w:val="197C5DFD"/>
    <w:rsid w:val="1BA41F7F"/>
    <w:rsid w:val="1CDB7011"/>
    <w:rsid w:val="27C12903"/>
    <w:rsid w:val="292D02ED"/>
    <w:rsid w:val="2CC21BE2"/>
    <w:rsid w:val="2D567B51"/>
    <w:rsid w:val="2E7D7E64"/>
    <w:rsid w:val="370D776A"/>
    <w:rsid w:val="372C7B7D"/>
    <w:rsid w:val="39AE558F"/>
    <w:rsid w:val="3CF569A1"/>
    <w:rsid w:val="3DCE25CB"/>
    <w:rsid w:val="3E3B7D6E"/>
    <w:rsid w:val="3F95519B"/>
    <w:rsid w:val="43155342"/>
    <w:rsid w:val="454122DE"/>
    <w:rsid w:val="499867FB"/>
    <w:rsid w:val="4A8A3AA5"/>
    <w:rsid w:val="4F714328"/>
    <w:rsid w:val="5B0628E6"/>
    <w:rsid w:val="60FA64A5"/>
    <w:rsid w:val="640414F2"/>
    <w:rsid w:val="67180C37"/>
    <w:rsid w:val="68DD3B1B"/>
    <w:rsid w:val="6BE1569C"/>
    <w:rsid w:val="71923C31"/>
    <w:rsid w:val="71E4443B"/>
    <w:rsid w:val="72900F93"/>
    <w:rsid w:val="742A5505"/>
    <w:rsid w:val="79DE219F"/>
    <w:rsid w:val="7D6E3C53"/>
    <w:rsid w:val="7F8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2020-09-28T01:07:00Z</dcterms:created>
  <dc:creator>admini</dc:creator>
  <cp:lastModifiedBy>琼</cp:lastModifiedBy>
  <dcterms:modified xsi:type="dcterms:W3CDTF">2021-05-27T03:56:22Z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9C2E078F6E4348B1B6F11AD545445CED</vt:lpwstr>
  </property>
</Properties>
</file>