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40" w:firstLineChars="100"/>
        <w:jc w:val="center"/>
        <w:textAlignment w:val="auto"/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年度</w:t>
      </w: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val="en-US" w:eastAsia="zh-CN"/>
        </w:rPr>
        <w:t>长沙市</w:t>
      </w: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eastAsia="zh-CN"/>
        </w:rPr>
        <w:t>开福区人力资源和社会保障局</w:t>
      </w: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整体支出</w:t>
      </w: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eastAsia="zh-CN"/>
        </w:rPr>
        <w:t>绩效评价报告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40" w:firstLineChars="100"/>
        <w:jc w:val="center"/>
        <w:textAlignment w:val="auto"/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eastAsia="zh-CN"/>
        </w:rPr>
      </w:pPr>
    </w:p>
    <w:p>
      <w:pPr>
        <w:pStyle w:val="9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部门、单位基本情况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在职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人员情况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本单位202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年实有编制人数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人；编外长期聘用人员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人；年薪制聘用人员1人；退休人员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人（已纳入社保统筹）。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机构设置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长沙市开福区人力资源和社会保障局是开福区政府工作部门，为正科级单位。现有下属三个二级机构，分别为：长沙市开福区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就业服务中心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、长沙市开福区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社会保险服务中心和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长沙市开福区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劳动保障监察大队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。内设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7个科室，分别为：办公室、行政审批和政务服务科（基金监督科）、综合管理科、工资福利科、社会保险管理科、就业促进科、计划财务科，其中计划财务科为2021年新增科室。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（三）主要职能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贯彻执行国家、省、市关于人力资源和社会保障的法律法规、规章制度。拟订全区人力资源和社会保障事业发展规划，并组织实施。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拟订全区人力资源市场发展规划并组织实施，落实人力资源服务业发展、人力资源流动政策，促进人力资源合理流动、有效配置。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负责全区促进就业工作，拟订统筹城乡的就业发展规划并组织实施，完善公共就业创业服务体系，统筹建立面向城乡劳动者的职业技能培训制度，落实就业援助制度，贯彻落实高校毕业生就业政策。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统筹推进建立全区覆盖城乡的多层次社会保障体系。落实养老、失业、工伤等社会保险（不含医疗保险，生育保险，下同）及其补充保险政策和标准。落实养老、失业、工伤等社会保险及其补充保险基金管理和监督制度，编制全区社会保险基金预决算草案；会同有关部门落实全民参保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负责全区就业、失业、相关社会保险基金预测预警和信息引导，拟订应对预案，实施预防、调节和控制，保持就业形势稳定，确保相关社会保险基金安全运行。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贯彻执行劳动人事争议调解仲裁工作规划和劳动关系政策，完善劳动关系协商协调机制，监督落实全区职工工作时间、休息休假和假期制度，监督落实全区消除非法使用童工政策, 监督落实全区女工、未成年工特殊劳动保护政策。组织实施劳动保障监察，协调劳动者维权工作，依法查处重大案件。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牵头推进全区深化职称制度改革，贯彻落实专业技术人员管理、继续教育和博士后管理等政策，负责高层次专业技术人才选拔和培养工作，落实吸引留学人员来区（回国）工作或定居政策。落实技能人才培养、评价、使用和激励制度，执行职业资格制度，落实职业技能多元化评价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会同有关部门指导事业单位人事制度改革，按照管理权限负责规范事业单位岗位设置、公开招聘、聘用合同等人事综合管理工作，贯彻落实事业单位工作人员和机关工勤人员管理政策。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贯彻执行事业单位人员工资收入分配政策，贯彻执行事业单位人员福利和离退休政策。落实国家、省、市表彰奖励制度。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贯彻执行农民工工作相关政策，协调解决重点难点问题，维护农民工合法权益。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完成区委、区政府交办的其他任务。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职能转变。深入推进简政放权、放管结合、优化服务改革，进一步减少行政审批事项，规范和优化对外办理事项，加强事中事后监管，创新就业和社会保障等公共服务方式，加强信息共享，提高公共服务水平。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（四）2021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年取得的主要事业成效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1.始终“精实组织”，跑出充分就业加速度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一是紧盯“两个指标”。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城镇新增就业人数、城镇调查失业率两个指标为重点，夯实基层基础，在政策、资金、服务上协同发力，全年累计开展各类招聘活动51场，实现城镇新增就业8569人，城镇登记失业率控制在4.5%以内，完成我区城镇调查失业率16个样本点、208户的调查工作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二是紧抓“两项行动”。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把省级充分就业社区（村）建设做为就业工作的有效抓手，统筹安排、及时调度、每月通报、“点对点”督导，21个建设单位整体推进，平均得分在全市排名前列。大力实施“长沙工匠”铸造工程，累计开展职业技能培训2.96万人次，已提前完成省市重点民生实事考核中的培训任务，完成市对区考核中培训任务的118%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三是紧扣“两类群体”。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把高校毕业生就业摆在就业工作首位，连续6年开展“大学生就业在开福”系列活动，真情“湘”助农民工等就业困难群体，点亮“万家灯火”、实施“春风行动”，开展“311服务”4.28万次，服务覆盖率全市领先，零就业家庭动态“清零”；全年已发放创业担保贷款1660万元，发放高校毕业生租房和生活等各类惠民惠企补贴约2414.56万元。加大宣传力度，提升就业服务，全年各类官方媒体报道30余篇，《聚焦“六稳”促就业 千方百计惠民生》的工作经验在《湖南人社工作》第9期上专题刊发，得到省人社厅厅长唐白玉批示表扬，在全省推广。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2.始终“精心服务”，提升人才工作支撑力</w:t>
      </w:r>
    </w:p>
    <w:p>
      <w:pPr>
        <w:pStyle w:val="3"/>
        <w:spacing w:line="580" w:lineRule="exact"/>
        <w:ind w:left="0" w:firstLine="643" w:firstLineChars="200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一是围绕产业发展“引才”。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面落实区委“人才兴区”战略，首次尝试赴北京校招，引入高层次人才23名，其中博士研究生4人，硕士研究生18人，综合素质为历年之最；精心组织事业单位招聘工作，从近万名考生中择优录取优秀人才35名，营造开福爱才、惜才、重才的良好氛围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二是围绕党政机关“育才”。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党对人才工作的领导，健全“树牢导向、完善考核、推进交流、加强监督”机制，完成19家单位的岗位重新设置。千方百计保障义务教育教师工资待遇，组织全区37家单位216名工勤技能岗位人员参加2021年机关事业单位工勤技能岗位考试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三是围绕专业技术“留才”。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新增筑友智造科技产业集团企业博士后科研工作站，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在马栏山视频文创园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设立职称评定联络站，开通“绿色通道”，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首批评定初级职称80人，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打造了高层次人才交流平台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6"/>
          <w:kern w:val="0"/>
          <w:sz w:val="32"/>
          <w:szCs w:val="32"/>
        </w:rPr>
        <w:t>首次</w: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开展编外教师职称初任工作，444人通过初任，解决了其职称评定的“堵点”问题，全区人才幸福感、归属感、获得感不断增强。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3.始终“精细实施”，织密社会保障安全网</w:t>
      </w:r>
    </w:p>
    <w:p>
      <w:pPr>
        <w:spacing w:line="58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一是“做实”基础保障工作。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贯彻落实习近平总书记关于社保工作的重要讲话精神，持续推进社保扩面，如期完成基本养老金第17次调增，制度保障应保尽保，预计全区全年参保人数23.68万人，累计发放退休待遇8.07亿元。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二是“做细”重点人群参保。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被征地农民社会保障政策，圆满完成人员摸底、数据比对、参保缴费等任务；建立困难群体参保对接长效机制，低保、重残等特扶对象全员参保。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三是“做严”基金监督管理。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扎实开展社保基金管理专项整治行动，深入推进养老保险待遇核查“回头看”，累计核查248449人，社保卡361338张，截至目前，发现死亡人员多发待遇748人，稽核746人，全区各项社保基金安全平稳运行。</w:t>
      </w:r>
    </w:p>
    <w:p>
      <w:pPr>
        <w:spacing w:line="580" w:lineRule="exact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4.始终“精准发力”，打好根治欠薪组合拳</w:t>
      </w:r>
    </w:p>
    <w:p>
      <w:pPr>
        <w:spacing w:line="580" w:lineRule="exact"/>
        <w:ind w:firstLine="643" w:firstLineChars="200"/>
        <w:textAlignment w:val="baseline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一是劳动保障基础与机制统抓。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实施劳动保障网格化管理，强化“区—街道—社区—企业”四级联动，在全省率先组织劳动关系协调员培训，夯实了根治欠薪基层基础。采用缴纳保证金前置程序，实现在建项目全覆盖。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二是劳动风险监测与防范并举。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依托省“两网化”平台进行实时监控，常态开展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“双随机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一公开”检查巡查，广泛开展《保障农民工工资支付条例》教育宣传，引导劳动者理性维权、依法维权，全区未发生一起因欠薪引发的重大舆情。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三是劳动关系执法与办案共促。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畅通投诉渠道，扎实查处各类投诉举报案件，全年累计办理劳动纠纷2600件，协调处理农民工欠薪案件180起，处理全国根治欠薪平台欠薪线索1100条，办结率达100%。</w:t>
      </w:r>
    </w:p>
    <w:p>
      <w:pPr>
        <w:pStyle w:val="9"/>
        <w:widowControl/>
        <w:numPr>
          <w:ilvl w:val="0"/>
          <w:numId w:val="1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9"/>
        <w:widowControl/>
        <w:numPr>
          <w:ilvl w:val="0"/>
          <w:numId w:val="3"/>
        </w:numPr>
        <w:spacing w:line="600" w:lineRule="exact"/>
        <w:ind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基本支出情况</w:t>
      </w:r>
    </w:p>
    <w:p>
      <w:pPr>
        <w:pStyle w:val="9"/>
        <w:widowControl/>
        <w:numPr>
          <w:ilvl w:val="0"/>
          <w:numId w:val="0"/>
        </w:numPr>
        <w:spacing w:line="600" w:lineRule="exact"/>
        <w:ind w:left="640" w:leftChars="0" w:firstLine="320" w:firstLineChars="1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年基本支出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626.95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万元，占总支出的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62.67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%。</w:t>
      </w:r>
    </w:p>
    <w:p>
      <w:pPr>
        <w:pStyle w:val="9"/>
        <w:widowControl/>
        <w:numPr>
          <w:ilvl w:val="0"/>
          <w:numId w:val="3"/>
        </w:numPr>
        <w:spacing w:line="600" w:lineRule="exact"/>
        <w:ind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项目支出情况</w:t>
      </w:r>
    </w:p>
    <w:p>
      <w:pPr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年实际发生的项目支出共计为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373.47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万元，占总支出的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37.33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%，其中：业务工作经费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365.17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万元，分为一般公共服务支出和一般行政管理事务，一般公共服务支出为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251.17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人力资源和社会保障管理事务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一般行政管理事务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34.65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，用于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工作证退休证印制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购买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考核手册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赴北京开展校招工作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临聘人员劳务派遣服务费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等；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信息化建设3万元，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工资软件维护经费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博士后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日常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经费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5万元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其他人力资源和社会保障管理事务支出208.52万元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，主要用于养老保险待遇核查“回头看”专项工作、2021年省级社保基金“防风险 堵漏洞”专项整治工作、区外拟调入人员实地考察、事业单位工作人员培训、视频会议系统、选调招聘机关事业单位工作人员工作；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一般行政管理事务包括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2020年年度考核嘉奖及记功奖励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经费114万元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专项经费8.3万元，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其他城乡社区支出6万元，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2020年度民生实事工作先进集体2万元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2020年度优化营商工作先进集体2万元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2020年度“433”产业攻坚工作项目建设先进集体2万元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应急管理事务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一般行政管理事务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0.5万元，为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安全生产目标管理考核表彰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政府办公厅（室）及相关机构事务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一般行政管理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事务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0.5万元，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优秀调研报告奖金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党委办公厅（室）及相关机构事务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一般行政管理事务0.3万，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开福区党委信息先进单位工作经费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；公共安全支出的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其他公安支出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1万元，为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综治维稳工作经费（平安建设先进单位）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640" w:firstLineChars="200"/>
        <w:jc w:val="left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" w:cs="仿宋"/>
          <w:sz w:val="32"/>
          <w:szCs w:val="32"/>
        </w:rPr>
        <w:t>绩效目标</w:t>
      </w:r>
      <w:r>
        <w:rPr>
          <w:rFonts w:hint="eastAsia" w:ascii="仿宋_GB2312" w:hAnsi="仿宋" w:cs="仿宋"/>
          <w:sz w:val="32"/>
          <w:szCs w:val="32"/>
          <w:lang w:eastAsia="zh-CN"/>
        </w:rPr>
        <w:t>设置</w:t>
      </w:r>
      <w:r>
        <w:rPr>
          <w:rFonts w:hint="eastAsia" w:ascii="仿宋_GB2312" w:hAnsi="仿宋" w:cs="仿宋"/>
          <w:sz w:val="32"/>
          <w:szCs w:val="32"/>
        </w:rPr>
        <w:t>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整体绩效目标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为全面完成市对区绩效考核目标任务，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获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区绩效目标考核一类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单位。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各项资金的申请使用紧紧围绕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  <w:t>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单位各项工作开展，与年度工作任务相符，绩效指标清晰、细化、可衡量，合理合规合法使用各类资金。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firstLine="640" w:firstLineChars="200"/>
        <w:jc w:val="left"/>
        <w:rPr>
          <w:rFonts w:hint="eastAsia" w:ascii="仿宋_GB2312" w:hAnsi="仿宋" w:cs="仿宋"/>
          <w:sz w:val="32"/>
          <w:szCs w:val="32"/>
          <w:lang w:eastAsia="zh-CN"/>
        </w:rPr>
      </w:pPr>
      <w:r>
        <w:rPr>
          <w:rFonts w:hint="eastAsia" w:ascii="仿宋_GB2312" w:hAnsi="仿宋" w:cs="仿宋"/>
          <w:sz w:val="32"/>
          <w:szCs w:val="32"/>
          <w:lang w:eastAsia="zh-CN"/>
        </w:rPr>
        <w:t>绩效目标完成情况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2021年，本单位锚准市对区绩效考核目标，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年累计开展各类招聘活动51场，实现城镇新增就业8569人，城镇登记失业率控制在4.5%以内，完成我区城镇调查失业率16个样本点、208户的调查工作。大力实施“长沙工匠”铸造工程，累计开展职业技能培训2.96万人次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全年累计办理劳动纠纷2600件，协调处理农民工欠薪案件180起，处理全国根治欠薪平台欠薪线索1100条，办结率达100%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存在的主要问题及下一步改进措施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right="0" w:firstLine="645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是预算编制的口径与实际执行有调整。实际执行中单位工作人员往往有变动或流动。二是预算编制的分类和实行执行出现差异。预算编制的功能分类与经济分类不够细化，出现了分类不一致的情况。下一步将强化预算管理意识，预算编制前多与有关各方做好沟通衔接，提高预算编制的科学性、合理性、准确性和可控性。完善各类支出管理制度、明细收支项目，坚持专款专用，提高预算编制的前瞻性和指导性。</w:t>
      </w:r>
    </w:p>
    <w:p>
      <w:pPr>
        <w:widowControl/>
        <w:numPr>
          <w:ilvl w:val="0"/>
          <w:numId w:val="4"/>
        </w:numPr>
        <w:spacing w:line="600" w:lineRule="exact"/>
        <w:ind w:firstLine="645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通过开展部门整体支出绩效评价，全面了解分析我单位预算执行及公开、“三公经费”管理、相关政策制度执行、资产管理及部门工作绩效等情况，绩效自评结果将进一步督促我单位围绕绩效目标开展工作，科学合理编制预算，加强财务管理，强化支出责任，提高财政资金使用绩效，绩效自评按要求及时在政府网站进行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541AF08-7FB4-4C56-9B6F-686350159A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B09067-3EF0-4547-B756-E7D861B17C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37A93D6-BD69-4B72-B2CC-9F22DF550741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F1FB10B-FD06-4368-95F5-57BE04364BA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B021C03-BFB2-4969-BBC4-734C10F9AD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0F32ECA-544B-41AD-A526-A331D60BB4A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3304E5"/>
    <w:multiLevelType w:val="singleLevel"/>
    <w:tmpl w:val="903304E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CE09E64"/>
    <w:multiLevelType w:val="singleLevel"/>
    <w:tmpl w:val="7CE09E6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NDc5ZDMxOWJkNzc0NWNkZmQzMDAyMjUyOTdlZDIifQ=="/>
  </w:docVars>
  <w:rsids>
    <w:rsidRoot w:val="6A1855B6"/>
    <w:rsid w:val="131D5116"/>
    <w:rsid w:val="269669DC"/>
    <w:rsid w:val="64680D4A"/>
    <w:rsid w:val="6A1855B6"/>
    <w:rsid w:val="6FD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4079</Words>
  <Characters>4289</Characters>
  <Lines>0</Lines>
  <Paragraphs>0</Paragraphs>
  <TotalTime>7</TotalTime>
  <ScaleCrop>false</ScaleCrop>
  <LinksUpToDate>false</LinksUpToDate>
  <CharactersWithSpaces>4292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2022-09-15T21:28:00Z</dcterms:created>
  <dc:creator>Administrator</dc:creator>
  <cp:lastModifiedBy>萍shui相逢</cp:lastModifiedBy>
  <dcterms:modified xsi:type="dcterms:W3CDTF">2022-10-14T09:37:19Z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5E750F6CEEFA4A49967E6D198736996A</vt:lpwstr>
  </property>
</Properties>
</file>