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default" w:ascii="仿宋" w:hAnsi="仿宋" w:eastAsia="仿宋" w:cs="仿宋"/>
          <w:color w:val="auto"/>
          <w:sz w:val="48"/>
          <w:szCs w:val="48"/>
        </w:rPr>
      </w:pPr>
      <w:bookmarkStart w:id="0" w:name="_GoBack"/>
      <w:r>
        <w:rPr>
          <w:rFonts w:ascii="仿宋" w:hAnsi="仿宋" w:eastAsia="仿宋" w:cs="仿宋"/>
          <w:color w:val="auto"/>
          <w:sz w:val="48"/>
          <w:szCs w:val="48"/>
        </w:rPr>
        <w:t>2021年</w:t>
      </w:r>
      <w:r>
        <w:rPr>
          <w:rFonts w:hint="default" w:ascii="仿宋" w:hAnsi="仿宋" w:eastAsia="仿宋" w:cs="仿宋"/>
          <w:color w:val="auto"/>
          <w:sz w:val="48"/>
          <w:szCs w:val="48"/>
        </w:rPr>
        <w:t>开福区人力资源和社会保障局部门预算</w:t>
      </w:r>
    </w:p>
    <w:p>
      <w:pPr>
        <w:keepNext w:val="0"/>
        <w:keepLines w:val="0"/>
        <w:pageBreakBefore w:val="0"/>
        <w:kinsoku/>
        <w:wordWrap/>
        <w:overflowPunct/>
        <w:topLinePunct w:val="0"/>
        <w:autoSpaceDE/>
        <w:autoSpaceDN/>
        <w:bidi w:val="0"/>
        <w:adjustRightInd/>
        <w:snapToGrid/>
        <w:spacing w:line="600" w:lineRule="exact"/>
        <w:textAlignment w:val="auto"/>
        <w:rPr>
          <w:color w:val="auto"/>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auto"/>
          <w:kern w:val="0"/>
          <w:sz w:val="32"/>
          <w:szCs w:val="32"/>
        </w:rPr>
      </w:pPr>
      <w:r>
        <w:rPr>
          <w:rFonts w:eastAsia="黑体"/>
          <w:bCs/>
          <w:color w:val="auto"/>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kern w:val="0"/>
          <w:sz w:val="32"/>
          <w:szCs w:val="32"/>
        </w:rPr>
      </w:pPr>
      <w:r>
        <w:rPr>
          <w:rFonts w:hint="eastAsia" w:ascii="黑体" w:hAnsi="黑体" w:eastAsia="黑体" w:cs="黑体"/>
          <w:b/>
          <w:bCs/>
          <w:color w:val="auto"/>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color w:val="auto"/>
          <w:kern w:val="0"/>
          <w:sz w:val="44"/>
          <w:szCs w:val="44"/>
        </w:rPr>
      </w:pPr>
      <w:r>
        <w:rPr>
          <w:rFonts w:hint="eastAsia" w:ascii="黑体" w:hAnsi="黑体" w:eastAsia="黑体" w:cs="黑体"/>
          <w:b/>
          <w:color w:val="auto"/>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方正小标宋_GBK"/>
          <w:bCs/>
          <w:color w:val="auto"/>
          <w:kern w:val="0"/>
          <w:sz w:val="36"/>
          <w:szCs w:val="36"/>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仿宋"/>
          <w:bCs/>
          <w:color w:val="auto"/>
          <w:sz w:val="32"/>
          <w:szCs w:val="32"/>
        </w:rPr>
      </w:pPr>
      <w:r>
        <w:rPr>
          <w:rFonts w:hint="eastAsia" w:ascii="黑体" w:hAnsi="黑体" w:eastAsia="黑体" w:cs="仿宋"/>
          <w:bCs/>
          <w:color w:val="auto"/>
          <w:sz w:val="32"/>
          <w:szCs w:val="32"/>
        </w:rPr>
        <w:t>一、部门基本概况</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Calibri" w:hAnsi="Calibri" w:eastAsia="仿宋" w:cs="Calibri"/>
          <w:bCs/>
          <w:color w:val="auto"/>
          <w:sz w:val="32"/>
          <w:szCs w:val="32"/>
        </w:rPr>
      </w:pP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职能职责：</w:t>
      </w:r>
      <w:r>
        <w:rPr>
          <w:rFonts w:ascii="Calibri" w:hAnsi="Calibri" w:eastAsia="仿宋" w:cs="Calibri"/>
          <w:bCs/>
          <w:color w:val="auto"/>
          <w:sz w:val="32"/>
          <w:szCs w:val="32"/>
        </w:rPr>
        <w:t> </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(1)贯彻执行国家、省、市关于人力资源和社会保障的法律法规、规章制度。拟订全区人力资源和社会保障事业发展规划，并组织实施。</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(2)拟订全区人力资源市场发展规划并组织实施，落实人力资源服务业发展、人力资源流动政策，促进人力资源合理流动、有效配置。</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(3)负责全区促进就业工作，拟订统筹城乡的就业发展规划并组织实施，完善公共就业创业服务体系，统筹建立面向城乡劳动者的职业技能培训制度，落实就业援助制度，贯彻落实高校毕业生就业政策。</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 xml:space="preserve">(4)统筹推进建立全区覆盖城乡的多层次社会保障体系。落实养老、失业、工伤等社会保险（不含医疗保险，生育保险，下同）及其补充保险政策和标准。落实养老、失业、工伤等社会保险及其补充保险基金管理和监督制度，编制全区社会保险基金预决算草案；会同有关部门落实全民参保计划。 </w:t>
      </w:r>
      <w:r>
        <w:rPr>
          <w:rFonts w:ascii="仿宋" w:hAnsi="仿宋" w:eastAsia="仿宋" w:cs="仿宋"/>
          <w:bCs/>
          <w:color w:val="auto"/>
          <w:sz w:val="32"/>
          <w:szCs w:val="32"/>
        </w:rPr>
        <w:t xml:space="preserve">  </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(5)负责全区就业、失业、相关社会保险基金预测预警和信息引导，拟订应对预案，实施预防、调节和控制，保持就业形势稳定，确保相关社会保险基金安全运行。</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(6)贯彻执行劳动人事争议调解仲裁工作规划和劳动关系政策，完善劳动关系协商协调机制，监督落实全区职工工作时间、休息休假和假期制度，监督落实全区消除非法使用童工政策,监督落实全区女工、未成年工特殊劳动保护政策。组织实施劳动保障监察，协调劳动者维权工作，依法查处重大案件。</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(7)牵头推进全区深化职称制度改革，贯彻落实专业技术人员管理、继续教育和博士后管理等政策，负责高层次专业技术人才选拔和培养工作，落实吸引留学人员来区（回国）工作或定居政策。落实技能人才培养、评价、使用和激励制度，执行职业资格制度，落实职业技能多元化评价政策。</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(8)会同有关部门指导事业单位人事制度改革，按照管理权限负责规范事业单位岗位设置、公开招聘、聘用合同等人事综合管理工作，贯彻落实事业单位工作人员和机关工勤人员管理政策。</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(9)贯彻执行事业单位人员工资收入分配政策，贯彻执行事业单位人员福利和离退休政策。落实国家、省、市表彰奖励制度。</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(10)贯彻执行农民工工作相关政策，协调解决重点难点问题，维护农民工合法权益。</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(11)完成区委、区政府交办的其他任务。</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(12)职能转变。深入推进简政放权、放管结合、优化服务改革，进一步减少行政审批事项，规范和优化对外办理事项，加强事中事后监管，创新就业和社会保障等公共服务方式，加强信息共享，提高公共服务水平。</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bCs/>
          <w:color w:val="auto"/>
          <w:sz w:val="32"/>
          <w:szCs w:val="32"/>
        </w:rPr>
      </w:pP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机构设置</w:t>
      </w:r>
      <w:r>
        <w:rPr>
          <w:rFonts w:hint="eastAsia" w:ascii="仿宋" w:hAnsi="仿宋" w:eastAsia="仿宋" w:cs="仿宋"/>
          <w:bCs/>
          <w:color w:val="auto"/>
          <w:sz w:val="32"/>
          <w:szCs w:val="32"/>
        </w:rPr>
        <w:t>：本部门由1个行政单位及 3个二级机构组成，二级机构分别为长沙市开福区就业服务中心、长沙市开福区社会保险服务中心和长沙市开福区劳动保障监察大队,均为财政独立核算单位(预决算单独公开)。本单位内设6个科室，分别是办公室、行政审批和政务服务科、综合管理科、工资福利科、社会保险管理科、就业促进科。本部门编制数14人,在职人数23人,其中:在编人员14人，编外长期聘用人员8人，借调1人;退休人员12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仿宋"/>
          <w:bCs/>
          <w:color w:val="auto"/>
          <w:sz w:val="32"/>
          <w:szCs w:val="32"/>
        </w:rPr>
      </w:pPr>
      <w:r>
        <w:rPr>
          <w:rFonts w:hint="eastAsia" w:ascii="黑体" w:hAnsi="黑体" w:eastAsia="黑体" w:cs="仿宋"/>
          <w:bCs/>
          <w:color w:val="auto"/>
          <w:sz w:val="32"/>
          <w:szCs w:val="32"/>
        </w:rPr>
        <w:t>二、部门预算单位构成 </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二级机构均为财政独立核算单位，因此，纳入2021年部门预算编制范围的只有开福区人力资源和社会保障局本级。</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仿宋"/>
          <w:bCs/>
          <w:color w:val="auto"/>
          <w:sz w:val="32"/>
          <w:szCs w:val="32"/>
        </w:rPr>
      </w:pPr>
      <w:r>
        <w:rPr>
          <w:rFonts w:hint="eastAsia" w:ascii="黑体" w:hAnsi="黑体" w:eastAsia="黑体" w:cs="仿宋"/>
          <w:bCs/>
          <w:color w:val="auto"/>
          <w:sz w:val="32"/>
          <w:szCs w:val="32"/>
        </w:rPr>
        <w:t>三、部门收支概况</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2021年部门预算指本级预算。收入包括一般公共预算收入；支出基本运行的经费和专项经费。</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bCs/>
          <w:color w:val="auto"/>
          <w:sz w:val="32"/>
          <w:szCs w:val="32"/>
        </w:rPr>
      </w:pPr>
      <w:r>
        <w:rPr>
          <w:rFonts w:hint="eastAsia" w:ascii="仿宋" w:hAnsi="仿宋" w:eastAsia="仿宋" w:cs="仿宋"/>
          <w:b/>
          <w:bCs/>
          <w:color w:val="auto"/>
          <w:sz w:val="32"/>
          <w:szCs w:val="32"/>
        </w:rPr>
        <w:t>（一）收入预算：</w:t>
      </w:r>
      <w:r>
        <w:rPr>
          <w:rFonts w:hint="eastAsia" w:ascii="仿宋" w:hAnsi="仿宋" w:eastAsia="仿宋" w:cs="仿宋"/>
          <w:bCs/>
          <w:color w:val="auto"/>
          <w:sz w:val="32"/>
          <w:szCs w:val="32"/>
        </w:rPr>
        <w:t>2021年本部门收入预算数720.52万元，其中，一般公共预算拨款720.52万元。收入较去年增加</w:t>
      </w:r>
      <w:r>
        <w:rPr>
          <w:rFonts w:hint="eastAsia" w:ascii="仿宋" w:hAnsi="仿宋" w:eastAsia="仿宋" w:cs="仿宋"/>
          <w:bCs/>
          <w:color w:val="auto"/>
          <w:sz w:val="32"/>
          <w:szCs w:val="32"/>
        </w:rPr>
        <w:t>144.73</w:t>
      </w:r>
      <w:r>
        <w:rPr>
          <w:rFonts w:hint="eastAsia" w:ascii="仿宋" w:hAnsi="仿宋" w:eastAsia="仿宋" w:cs="仿宋"/>
          <w:bCs/>
          <w:color w:val="auto"/>
          <w:sz w:val="32"/>
          <w:szCs w:val="32"/>
        </w:rPr>
        <w:t>万元，上升25.14%，主要是基本工资、津贴补贴等人员经费财政拨款增加。</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bCs/>
          <w:color w:val="auto"/>
          <w:sz w:val="32"/>
          <w:szCs w:val="32"/>
        </w:rPr>
      </w:pPr>
      <w:r>
        <w:rPr>
          <w:rFonts w:hint="eastAsia" w:ascii="仿宋" w:hAnsi="仿宋" w:eastAsia="仿宋" w:cs="仿宋"/>
          <w:b/>
          <w:bCs/>
          <w:color w:val="auto"/>
          <w:sz w:val="32"/>
          <w:szCs w:val="32"/>
        </w:rPr>
        <w:t>（二）支出预算：</w:t>
      </w:r>
      <w:r>
        <w:rPr>
          <w:rFonts w:hint="eastAsia" w:ascii="仿宋" w:hAnsi="仿宋" w:eastAsia="仿宋" w:cs="仿宋"/>
          <w:bCs/>
          <w:color w:val="auto"/>
          <w:sz w:val="32"/>
          <w:szCs w:val="32"/>
        </w:rPr>
        <w:t>2021年支出预算数720.52万元，其中，</w:t>
      </w:r>
      <w:r>
        <w:rPr>
          <w:rFonts w:hint="eastAsia" w:ascii="仿宋" w:hAnsi="仿宋" w:eastAsia="仿宋" w:cs="仿宋"/>
          <w:bCs/>
          <w:color w:val="auto"/>
          <w:sz w:val="32"/>
          <w:szCs w:val="32"/>
        </w:rPr>
        <w:t>一般公共服务支出</w:t>
      </w:r>
      <w:r>
        <w:rPr>
          <w:rFonts w:ascii="仿宋" w:hAnsi="仿宋" w:eastAsia="仿宋" w:cs="仿宋"/>
          <w:bCs/>
          <w:color w:val="auto"/>
          <w:sz w:val="32"/>
          <w:szCs w:val="32"/>
        </w:rPr>
        <w:t>602.24</w:t>
      </w:r>
      <w:r>
        <w:rPr>
          <w:rFonts w:hint="eastAsia" w:ascii="仿宋" w:hAnsi="仿宋" w:eastAsia="仿宋" w:cs="仿宋"/>
          <w:bCs/>
          <w:color w:val="auto"/>
          <w:sz w:val="32"/>
          <w:szCs w:val="32"/>
        </w:rPr>
        <w:t>万元，社会保障和就业支出85.69万元，住房保障支出32.59万元</w:t>
      </w:r>
      <w:r>
        <w:rPr>
          <w:rFonts w:hint="eastAsia" w:ascii="仿宋" w:hAnsi="仿宋" w:eastAsia="仿宋" w:cs="仿宋"/>
          <w:bCs/>
          <w:color w:val="auto"/>
          <w:sz w:val="32"/>
          <w:szCs w:val="32"/>
        </w:rPr>
        <w:t>。本年支出预算数较去年增加</w:t>
      </w:r>
      <w:r>
        <w:rPr>
          <w:rFonts w:hint="eastAsia" w:ascii="仿宋" w:hAnsi="仿宋" w:eastAsia="仿宋" w:cs="仿宋"/>
          <w:bCs/>
          <w:color w:val="auto"/>
          <w:sz w:val="32"/>
          <w:szCs w:val="32"/>
        </w:rPr>
        <w:t>144.73万元，上升25.14%</w:t>
      </w:r>
      <w:r>
        <w:rPr>
          <w:rFonts w:hint="eastAsia" w:ascii="仿宋" w:hAnsi="仿宋" w:eastAsia="仿宋" w:cs="仿宋"/>
          <w:bCs/>
          <w:color w:val="auto"/>
          <w:sz w:val="32"/>
          <w:szCs w:val="32"/>
        </w:rPr>
        <w:t>，主要是基本工资、津贴补贴等人员经费财政拨款增加。</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仿宋"/>
          <w:bCs/>
          <w:color w:val="auto"/>
          <w:sz w:val="32"/>
          <w:szCs w:val="32"/>
        </w:rPr>
      </w:pPr>
      <w:r>
        <w:rPr>
          <w:rFonts w:hint="eastAsia" w:ascii="黑体" w:hAnsi="黑体" w:eastAsia="黑体" w:cs="仿宋"/>
          <w:bCs/>
          <w:color w:val="auto"/>
          <w:sz w:val="32"/>
          <w:szCs w:val="32"/>
        </w:rPr>
        <w:t>四、一般公共预算拨款支出预算</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color w:val="auto"/>
          <w:sz w:val="32"/>
          <w:szCs w:val="32"/>
        </w:rPr>
        <w:t>2021年本部门一般公共预算拨款支出预算</w:t>
      </w:r>
      <w:r>
        <w:rPr>
          <w:rFonts w:hint="eastAsia" w:ascii="仿宋" w:hAnsi="仿宋" w:eastAsia="仿宋" w:cs="仿宋"/>
          <w:bCs/>
          <w:color w:val="auto"/>
          <w:sz w:val="32"/>
          <w:szCs w:val="32"/>
        </w:rPr>
        <w:t>720.52万元，其中，</w:t>
      </w:r>
      <w:r>
        <w:rPr>
          <w:rFonts w:hint="eastAsia" w:ascii="仿宋" w:hAnsi="仿宋" w:eastAsia="仿宋" w:cs="仿宋"/>
          <w:bCs/>
          <w:color w:val="auto"/>
          <w:sz w:val="32"/>
          <w:szCs w:val="32"/>
        </w:rPr>
        <w:t>一般公共服务支出</w:t>
      </w:r>
      <w:r>
        <w:rPr>
          <w:rFonts w:ascii="仿宋" w:hAnsi="仿宋" w:eastAsia="仿宋" w:cs="仿宋"/>
          <w:bCs/>
          <w:color w:val="auto"/>
          <w:sz w:val="32"/>
          <w:szCs w:val="32"/>
        </w:rPr>
        <w:t>602.24</w:t>
      </w:r>
      <w:r>
        <w:rPr>
          <w:rFonts w:hint="eastAsia" w:ascii="仿宋" w:hAnsi="仿宋" w:eastAsia="仿宋" w:cs="仿宋"/>
          <w:bCs/>
          <w:color w:val="auto"/>
          <w:sz w:val="32"/>
          <w:szCs w:val="32"/>
        </w:rPr>
        <w:t>万元，占83.59%</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社会保障和就业支出85.69万元，占11.89%</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住房保障支出32.59万元，占4.52%</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具体安排情况如下：</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jc w:val="both"/>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（一）基本支出</w:t>
      </w:r>
      <w:r>
        <w:rPr>
          <w:rFonts w:ascii="仿宋" w:hAnsi="仿宋" w:eastAsia="仿宋" w:cs="仿宋"/>
          <w:b/>
          <w:bCs/>
          <w:color w:val="auto"/>
          <w:sz w:val="32"/>
          <w:szCs w:val="32"/>
        </w:rPr>
        <w:t>：</w:t>
      </w:r>
      <w:r>
        <w:rPr>
          <w:rFonts w:hint="eastAsia" w:ascii="仿宋" w:hAnsi="仿宋" w:eastAsia="仿宋" w:cs="仿宋"/>
          <w:bCs/>
          <w:color w:val="auto"/>
          <w:sz w:val="32"/>
          <w:szCs w:val="32"/>
        </w:rPr>
        <w:t>2021年预算数为586.52万元，是指为保障单位机构正常运转、完成日常工作任务而发生的各项支出，包括用于基本工资、津贴补贴等人员经费以及办公费、印刷费、水电费、办公设备购置等日常公用经费。</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jc w:val="both"/>
        <w:textAlignment w:val="auto"/>
        <w:rPr>
          <w:rFonts w:ascii="仿宋" w:hAnsi="仿宋" w:eastAsia="仿宋" w:cs="仿宋"/>
          <w:bCs/>
          <w:color w:val="auto"/>
          <w:sz w:val="32"/>
          <w:szCs w:val="32"/>
        </w:rPr>
      </w:pPr>
      <w:r>
        <w:rPr>
          <w:rFonts w:hint="eastAsia" w:ascii="仿宋" w:hAnsi="仿宋" w:eastAsia="仿宋" w:cs="仿宋"/>
          <w:b/>
          <w:bCs/>
          <w:color w:val="auto"/>
          <w:sz w:val="32"/>
          <w:szCs w:val="32"/>
        </w:rPr>
        <w:t>（二）项目支出</w:t>
      </w:r>
      <w:r>
        <w:rPr>
          <w:rFonts w:ascii="仿宋" w:hAnsi="仿宋" w:eastAsia="仿宋" w:cs="仿宋"/>
          <w:b/>
          <w:bCs/>
          <w:color w:val="auto"/>
          <w:sz w:val="32"/>
          <w:szCs w:val="32"/>
        </w:rPr>
        <w:t>：</w:t>
      </w:r>
      <w:r>
        <w:rPr>
          <w:rFonts w:hint="eastAsia" w:ascii="仿宋" w:hAnsi="仿宋" w:eastAsia="仿宋" w:cs="仿宋"/>
          <w:bCs/>
          <w:color w:val="auto"/>
          <w:sz w:val="32"/>
          <w:szCs w:val="32"/>
        </w:rPr>
        <w:t>2021年预算数为134万元，是指单位为完成特定行政工作任务或事业发展目标而发生的支出，其中：事务性业务专项经费77万元，为人社工作经费；一般性业务专项57万元，为招考招聘费用。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color w:val="auto"/>
          <w:sz w:val="32"/>
          <w:szCs w:val="32"/>
        </w:rPr>
      </w:pPr>
      <w:r>
        <w:rPr>
          <w:rFonts w:eastAsia="黑体"/>
          <w:color w:val="auto"/>
          <w:sz w:val="32"/>
          <w:szCs w:val="32"/>
        </w:rPr>
        <w:t>五、政府性基金预算支出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 w:hAnsi="仿宋" w:eastAsia="仿宋" w:cs="仿宋"/>
          <w:b/>
          <w:bCs/>
          <w:color w:val="auto"/>
          <w:sz w:val="32"/>
          <w:szCs w:val="32"/>
        </w:rPr>
      </w:pPr>
      <w:r>
        <w:rPr>
          <w:rFonts w:eastAsia="仿宋_GB2312"/>
          <w:color w:val="auto"/>
          <w:sz w:val="32"/>
          <w:szCs w:val="32"/>
        </w:rPr>
        <w:t>本部门无政府性基金安排的支出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仿宋"/>
          <w:bCs/>
          <w:color w:val="auto"/>
          <w:sz w:val="32"/>
          <w:szCs w:val="32"/>
        </w:rPr>
      </w:pPr>
      <w:r>
        <w:rPr>
          <w:rFonts w:hint="eastAsia" w:ascii="黑体" w:hAnsi="黑体" w:eastAsia="黑体" w:cs="仿宋"/>
          <w:bCs/>
          <w:color w:val="auto"/>
          <w:sz w:val="32"/>
          <w:szCs w:val="32"/>
        </w:rPr>
        <w:t>六、其他重要事项的情况说明</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bCs/>
          <w:color w:val="auto"/>
          <w:sz w:val="32"/>
          <w:szCs w:val="32"/>
          <w:highlight w:val="none"/>
        </w:rPr>
      </w:pPr>
      <w:r>
        <w:rPr>
          <w:rFonts w:hint="eastAsia" w:ascii="仿宋" w:hAnsi="仿宋" w:eastAsia="仿宋" w:cs="仿宋"/>
          <w:b/>
          <w:color w:val="auto"/>
          <w:sz w:val="32"/>
          <w:szCs w:val="32"/>
          <w:highlight w:val="none"/>
        </w:rPr>
        <w:t>（一）机关运行经费：</w:t>
      </w:r>
      <w:r>
        <w:rPr>
          <w:rFonts w:hint="eastAsia" w:ascii="仿宋" w:hAnsi="仿宋" w:eastAsia="仿宋" w:cs="仿宋"/>
          <w:bCs/>
          <w:color w:val="auto"/>
          <w:sz w:val="32"/>
          <w:szCs w:val="32"/>
          <w:highlight w:val="none"/>
        </w:rPr>
        <w:t>2021年机关运行经费财政拨款预算</w:t>
      </w:r>
      <w:r>
        <w:rPr>
          <w:rFonts w:hint="eastAsia" w:ascii="仿宋" w:hAnsi="仿宋" w:eastAsia="仿宋" w:cs="仿宋"/>
          <w:bCs/>
          <w:color w:val="auto"/>
          <w:sz w:val="32"/>
          <w:szCs w:val="32"/>
          <w:highlight w:val="none"/>
        </w:rPr>
        <w:t>43.31</w:t>
      </w:r>
      <w:r>
        <w:rPr>
          <w:rFonts w:hint="eastAsia" w:ascii="仿宋" w:hAnsi="仿宋" w:eastAsia="仿宋" w:cs="仿宋"/>
          <w:bCs/>
          <w:color w:val="auto"/>
          <w:sz w:val="32"/>
          <w:szCs w:val="32"/>
          <w:highlight w:val="none"/>
        </w:rPr>
        <w:t>万元。</w:t>
      </w:r>
      <w:r>
        <w:rPr>
          <w:rFonts w:hint="eastAsia" w:ascii="仿宋" w:hAnsi="仿宋" w:eastAsia="仿宋" w:cs="仿宋"/>
          <w:color w:val="auto"/>
          <w:sz w:val="32"/>
          <w:szCs w:val="32"/>
          <w:highlight w:val="none"/>
        </w:rPr>
        <w:t>比上年预算增加4.1万元，上升10.46%</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lang w:eastAsia="zh-CN"/>
        </w:rPr>
        <w:t>因为新增了人员，相应的经费支出有所增加</w:t>
      </w:r>
      <w:r>
        <w:rPr>
          <w:rFonts w:hint="eastAsia" w:ascii="仿宋" w:hAnsi="仿宋" w:eastAsia="仿宋" w:cs="仿宋"/>
          <w:color w:val="auto"/>
          <w:sz w:val="32"/>
          <w:szCs w:val="32"/>
          <w:highlight w:val="none"/>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bCs/>
          <w:color w:val="auto"/>
          <w:sz w:val="32"/>
          <w:szCs w:val="32"/>
        </w:rPr>
      </w:pPr>
      <w:r>
        <w:rPr>
          <w:rFonts w:hint="eastAsia" w:ascii="仿宋" w:hAnsi="仿宋" w:eastAsia="仿宋" w:cs="仿宋"/>
          <w:b/>
          <w:color w:val="auto"/>
          <w:sz w:val="32"/>
          <w:szCs w:val="32"/>
        </w:rPr>
        <w:t>（二）“三公”经费预算：</w:t>
      </w:r>
      <w:r>
        <w:rPr>
          <w:rFonts w:hint="eastAsia" w:ascii="仿宋" w:hAnsi="仿宋" w:eastAsia="仿宋" w:cs="仿宋"/>
          <w:bCs/>
          <w:color w:val="auto"/>
          <w:sz w:val="32"/>
          <w:szCs w:val="32"/>
        </w:rPr>
        <w:t>2021年“三公”经费预算数为0万元，其中，公务接待费0万元，公务用车购置及运行费0万元（其中，公务用车购置费0万元，公务用车运行费0万元），因公出国（境）费0万元。主要原因是积极落实厉行节约的要求，从严控制公务接待行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b/>
          <w:color w:val="auto"/>
          <w:sz w:val="32"/>
          <w:szCs w:val="32"/>
          <w:highlight w:val="none"/>
          <w:u w:val="none"/>
        </w:rPr>
        <w:t>（三）一般性支出情况：2021</w:t>
      </w:r>
      <w:r>
        <w:rPr>
          <w:rFonts w:hint="eastAsia" w:ascii="仿宋" w:hAnsi="仿宋" w:eastAsia="仿宋" w:cs="仿宋"/>
          <w:color w:val="auto"/>
          <w:kern w:val="0"/>
          <w:sz w:val="32"/>
          <w:szCs w:val="32"/>
          <w:highlight w:val="none"/>
          <w:u w:val="none"/>
        </w:rPr>
        <w:t>年本部门会议费预算</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kern w:val="0"/>
          <w:sz w:val="32"/>
          <w:szCs w:val="32"/>
          <w:highlight w:val="none"/>
          <w:u w:val="none"/>
        </w:rPr>
        <w:t>万元；培训费预算</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kern w:val="0"/>
          <w:sz w:val="32"/>
          <w:szCs w:val="32"/>
          <w:highlight w:val="none"/>
          <w:u w:val="none"/>
        </w:rPr>
        <w:t>万元；</w:t>
      </w:r>
      <w:r>
        <w:rPr>
          <w:rFonts w:hint="eastAsia" w:ascii="仿宋" w:hAnsi="仿宋" w:eastAsia="仿宋" w:cs="仿宋"/>
          <w:color w:val="auto"/>
          <w:kern w:val="0"/>
          <w:sz w:val="32"/>
          <w:szCs w:val="32"/>
          <w:highlight w:val="none"/>
          <w:u w:val="none"/>
          <w:lang w:val="en-US" w:eastAsia="zh-CN"/>
        </w:rPr>
        <w:t>未</w:t>
      </w:r>
      <w:r>
        <w:rPr>
          <w:rFonts w:hint="eastAsia" w:ascii="仿宋" w:hAnsi="仿宋" w:eastAsia="仿宋" w:cs="仿宋"/>
          <w:color w:val="auto"/>
          <w:kern w:val="0"/>
          <w:sz w:val="32"/>
          <w:szCs w:val="32"/>
          <w:highlight w:val="none"/>
          <w:u w:val="none"/>
        </w:rPr>
        <w:t>举办节庆、晚会、论坛、赛事活动。</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bCs/>
          <w:color w:val="auto"/>
          <w:sz w:val="32"/>
          <w:szCs w:val="32"/>
          <w:highlight w:val="none"/>
        </w:rPr>
      </w:pPr>
      <w:r>
        <w:rPr>
          <w:rFonts w:hint="eastAsia" w:ascii="仿宋" w:hAnsi="仿宋" w:eastAsia="仿宋" w:cs="仿宋"/>
          <w:b/>
          <w:color w:val="auto"/>
          <w:sz w:val="32"/>
          <w:szCs w:val="32"/>
          <w:highlight w:val="none"/>
        </w:rPr>
        <w:t>（四）政府采购情况：</w:t>
      </w:r>
      <w:r>
        <w:rPr>
          <w:rFonts w:hint="eastAsia" w:ascii="仿宋" w:hAnsi="仿宋" w:eastAsia="仿宋" w:cs="仿宋"/>
          <w:bCs/>
          <w:color w:val="auto"/>
          <w:sz w:val="32"/>
          <w:szCs w:val="32"/>
          <w:highlight w:val="none"/>
        </w:rPr>
        <w:t>2021年开福区人力资源和社会保障局政府采购预算总额0.6万元，其中:政府采购服务预算</w:t>
      </w:r>
      <w:r>
        <w:rPr>
          <w:rFonts w:hint="eastAsia" w:ascii="仿宋" w:hAnsi="仿宋" w:eastAsia="仿宋" w:cs="仿宋"/>
          <w:bCs/>
          <w:color w:val="auto"/>
          <w:sz w:val="32"/>
          <w:szCs w:val="32"/>
          <w:highlight w:val="none"/>
          <w:lang w:val="en-US" w:eastAsia="zh-CN"/>
        </w:rPr>
        <w:t>0</w:t>
      </w:r>
      <w:r>
        <w:rPr>
          <w:rFonts w:hint="eastAsia" w:ascii="仿宋" w:hAnsi="仿宋" w:eastAsia="仿宋" w:cs="仿宋"/>
          <w:bCs/>
          <w:color w:val="auto"/>
          <w:sz w:val="32"/>
          <w:szCs w:val="32"/>
          <w:highlight w:val="none"/>
        </w:rPr>
        <w:t>万元，</w:t>
      </w:r>
      <w:r>
        <w:rPr>
          <w:rFonts w:hint="eastAsia" w:ascii="仿宋" w:hAnsi="仿宋" w:eastAsia="仿宋" w:cs="仿宋"/>
          <w:color w:val="auto"/>
          <w:sz w:val="32"/>
          <w:szCs w:val="32"/>
          <w:highlight w:val="none"/>
        </w:rPr>
        <w:t>工程类采购预算0万元，</w:t>
      </w:r>
      <w:r>
        <w:rPr>
          <w:rFonts w:hint="eastAsia" w:ascii="仿宋" w:hAnsi="仿宋" w:eastAsia="仿宋" w:cs="仿宋"/>
          <w:bCs/>
          <w:color w:val="auto"/>
          <w:sz w:val="32"/>
          <w:szCs w:val="32"/>
          <w:highlight w:val="none"/>
        </w:rPr>
        <w:t>政府采购固定资产预算0.6万元。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color w:val="auto"/>
          <w:kern w:val="0"/>
          <w:sz w:val="32"/>
          <w:szCs w:val="32"/>
        </w:rPr>
      </w:pPr>
      <w:r>
        <w:rPr>
          <w:rFonts w:hint="eastAsia" w:ascii="仿宋" w:hAnsi="仿宋" w:eastAsia="仿宋" w:cs="仿宋"/>
          <w:b/>
          <w:color w:val="auto"/>
          <w:sz w:val="32"/>
          <w:szCs w:val="32"/>
        </w:rPr>
        <w:t>（五）国有资产占用使用及新增资产配置情况：</w:t>
      </w:r>
      <w:r>
        <w:rPr>
          <w:rFonts w:hint="eastAsia" w:ascii="仿宋" w:hAnsi="仿宋" w:eastAsia="仿宋" w:cs="仿宋"/>
          <w:color w:val="auto"/>
          <w:sz w:val="32"/>
          <w:szCs w:val="32"/>
        </w:rPr>
        <w:t>截至2020年12月底，本部门</w:t>
      </w:r>
      <w:r>
        <w:rPr>
          <w:rFonts w:hint="eastAsia" w:ascii="仿宋" w:hAnsi="仿宋" w:eastAsia="仿宋" w:cs="仿宋"/>
          <w:bCs/>
          <w:color w:val="auto"/>
          <w:kern w:val="0"/>
          <w:sz w:val="32"/>
          <w:szCs w:val="32"/>
        </w:rPr>
        <w:t>共有公务用车0辆，其中，机要通信用车0辆，应急保障用车0辆，执法执勤用车0辆，特种专业技术用车0辆，其他按照规定配备的公务用车0辆；单位价值50万元以上通用设备0台，单位价值100万元以上专用设备0台。2021年拟新增配置公务用车0辆，其中，机要通信用车0辆，应急保障用车0辆，执法执勤用车</w:t>
      </w:r>
      <w:r>
        <w:rPr>
          <w:rFonts w:hint="eastAsia" w:ascii="仿宋" w:hAnsi="仿宋" w:eastAsia="仿宋" w:cs="仿宋"/>
          <w:bCs/>
          <w:color w:val="auto"/>
          <w:kern w:val="0"/>
          <w:sz w:val="32"/>
          <w:szCs w:val="32"/>
          <w:lang w:val="en-US" w:eastAsia="zh-CN"/>
        </w:rPr>
        <w:t>0</w:t>
      </w:r>
      <w:r>
        <w:rPr>
          <w:rFonts w:hint="eastAsia" w:ascii="仿宋" w:hAnsi="仿宋" w:eastAsia="仿宋" w:cs="仿宋"/>
          <w:bCs/>
          <w:color w:val="auto"/>
          <w:kern w:val="0"/>
          <w:sz w:val="32"/>
          <w:szCs w:val="32"/>
        </w:rPr>
        <w:t>辆，特种专业技术用车0辆，其他按照规定配备的公务用车0辆；新增配备单位价值50万元以上通用设备0台，单位价值100万元以上专用设备0台。</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color w:val="auto"/>
          <w:kern w:val="0"/>
          <w:sz w:val="32"/>
          <w:szCs w:val="32"/>
        </w:rPr>
      </w:pPr>
      <w:r>
        <w:rPr>
          <w:rFonts w:hint="eastAsia" w:ascii="仿宋" w:hAnsi="仿宋" w:eastAsia="仿宋" w:cs="仿宋"/>
          <w:b/>
          <w:bCs/>
          <w:color w:val="auto"/>
          <w:kern w:val="0"/>
          <w:sz w:val="32"/>
          <w:szCs w:val="32"/>
        </w:rPr>
        <w:t>（六）预算绩效目标说明：</w:t>
      </w:r>
      <w:r>
        <w:rPr>
          <w:rFonts w:hint="eastAsia" w:ascii="仿宋" w:hAnsi="仿宋" w:eastAsia="仿宋" w:cs="仿宋"/>
          <w:bCs/>
          <w:color w:val="auto"/>
          <w:kern w:val="0"/>
          <w:sz w:val="32"/>
          <w:szCs w:val="32"/>
        </w:rPr>
        <w:t>本部门所有支出实行绩效目标管理。纳入2021年部门整体支出绩效目标的金额为</w:t>
      </w:r>
      <w:r>
        <w:rPr>
          <w:rFonts w:hint="eastAsia" w:ascii="仿宋" w:hAnsi="仿宋" w:eastAsia="仿宋" w:cs="仿宋"/>
          <w:color w:val="auto"/>
          <w:sz w:val="32"/>
          <w:szCs w:val="32"/>
        </w:rPr>
        <w:t>720.52</w:t>
      </w:r>
      <w:r>
        <w:rPr>
          <w:rFonts w:hint="eastAsia" w:ascii="仿宋" w:hAnsi="仿宋" w:eastAsia="仿宋" w:cs="仿宋"/>
          <w:bCs/>
          <w:color w:val="auto"/>
          <w:kern w:val="0"/>
          <w:sz w:val="32"/>
          <w:szCs w:val="32"/>
        </w:rPr>
        <w:t>万元，其中，基本支出</w:t>
      </w:r>
      <w:r>
        <w:rPr>
          <w:rFonts w:hint="eastAsia" w:ascii="仿宋" w:hAnsi="仿宋" w:eastAsia="仿宋" w:cs="仿宋"/>
          <w:color w:val="auto"/>
          <w:sz w:val="32"/>
          <w:szCs w:val="32"/>
        </w:rPr>
        <w:t>586.52</w:t>
      </w:r>
      <w:r>
        <w:rPr>
          <w:rFonts w:hint="eastAsia" w:ascii="仿宋" w:hAnsi="仿宋" w:eastAsia="仿宋" w:cs="仿宋"/>
          <w:bCs/>
          <w:color w:val="auto"/>
          <w:kern w:val="0"/>
          <w:sz w:val="32"/>
          <w:szCs w:val="32"/>
        </w:rPr>
        <w:t>万元，项目支出</w:t>
      </w:r>
      <w:r>
        <w:rPr>
          <w:rFonts w:hint="eastAsia" w:ascii="仿宋" w:hAnsi="仿宋" w:eastAsia="仿宋" w:cs="仿宋"/>
          <w:color w:val="auto"/>
          <w:sz w:val="32"/>
          <w:szCs w:val="32"/>
        </w:rPr>
        <w:t>134</w:t>
      </w:r>
      <w:r>
        <w:rPr>
          <w:rFonts w:hint="eastAsia" w:ascii="仿宋" w:hAnsi="仿宋" w:eastAsia="仿宋" w:cs="仿宋"/>
          <w:bCs/>
          <w:color w:val="auto"/>
          <w:kern w:val="0"/>
          <w:sz w:val="32"/>
          <w:szCs w:val="32"/>
        </w:rPr>
        <w:t>万元，具体绩效目标详见报表。</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按照区级预算绩效管理工作的总体要求，明确了预算绩效管理在职责管理中的要求，使财政支出绩效评价工作更加规范，进一步推进了本单位财政支出绩效评价工作有序开展，2021年收入720.52万元，主要用于职工工资支出、对个人和家庭补助支出，单位日常公用经费支出，通过预算绩效工作，规范了财政资金配置和使用。</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仿宋"/>
          <w:bCs/>
          <w:color w:val="auto"/>
          <w:sz w:val="32"/>
          <w:szCs w:val="32"/>
        </w:rPr>
      </w:pPr>
      <w:r>
        <w:rPr>
          <w:rFonts w:hint="eastAsia" w:ascii="黑体" w:hAnsi="黑体" w:eastAsia="黑体" w:cs="仿宋"/>
          <w:bCs/>
          <w:color w:val="auto"/>
          <w:sz w:val="32"/>
          <w:szCs w:val="32"/>
        </w:rPr>
        <w:t>七、名称解释</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（一）基本支出：指为保障机构正常运转、完成日常工作任务而发生的人员支出和公用支出。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（二）项目支出：指在基本支出之外为完成特定行政任务和事业发展目标所发生的支出。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cs="仿宋"/>
          <w:bCs/>
          <w:color w:val="auto"/>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1767" w:firstLineChars="400"/>
        <w:textAlignment w:val="auto"/>
        <w:rPr>
          <w:rFonts w:hint="eastAsia" w:ascii="仿宋" w:hAnsi="仿宋" w:eastAsia="仿宋" w:cs="仿宋"/>
          <w:bCs/>
          <w:color w:val="auto"/>
          <w:kern w:val="0"/>
          <w:sz w:val="32"/>
          <w:szCs w:val="32"/>
        </w:rPr>
      </w:pPr>
      <w:r>
        <w:rPr>
          <w:rFonts w:hint="eastAsia" w:ascii="黑体" w:hAnsi="黑体" w:eastAsia="黑体" w:cs="黑体"/>
          <w:b/>
          <w:color w:val="auto"/>
          <w:kern w:val="0"/>
          <w:sz w:val="44"/>
          <w:szCs w:val="44"/>
        </w:rPr>
        <w:t>第二部分 2021年部门预算表</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mZWU0NDJhYmE2YWU0MTAwNzQwOTdmMDk2OWU3YjAifQ=="/>
  </w:docVars>
  <w:rsids>
    <w:rsidRoot w:val="5D8001F7"/>
    <w:rsid w:val="000907BF"/>
    <w:rsid w:val="000F6CA3"/>
    <w:rsid w:val="003B5FA7"/>
    <w:rsid w:val="006868F9"/>
    <w:rsid w:val="008349CE"/>
    <w:rsid w:val="009A6255"/>
    <w:rsid w:val="00A5604B"/>
    <w:rsid w:val="1A9A267E"/>
    <w:rsid w:val="1BBC26CD"/>
    <w:rsid w:val="1E4B352A"/>
    <w:rsid w:val="22A7627D"/>
    <w:rsid w:val="32CC2541"/>
    <w:rsid w:val="414A0272"/>
    <w:rsid w:val="54DB5397"/>
    <w:rsid w:val="57043DE0"/>
    <w:rsid w:val="5D800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3264</Words>
  <Characters>3486</Characters>
  <Lines>25</Lines>
  <Paragraphs>7</Paragraphs>
  <TotalTime>0</TotalTime>
  <ScaleCrop>false</ScaleCrop>
  <LinksUpToDate>false</LinksUpToDate>
  <CharactersWithSpaces>3494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2022-06-28T14:18:00Z</dcterms:created>
  <dc:creator>燕子</dc:creator>
  <cp:lastModifiedBy>Administrator</cp:lastModifiedBy>
  <dcterms:modified xsi:type="dcterms:W3CDTF">2022-08-18T09:44:29Z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4F13051619DB4C648F57AEB8B7C1BC0E</vt:lpwstr>
  </property>
</Properties>
</file>