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960" w:firstLineChars="200"/>
        <w:jc w:val="left"/>
        <w:textAlignment w:val="auto"/>
        <w:rPr>
          <w:rFonts w:hint="eastAsia" w:ascii="黑体" w:hAnsi="黑体" w:eastAsia="黑体" w:cs="黑体"/>
          <w:bCs/>
          <w:color w:val="auto"/>
          <w:kern w:val="0"/>
          <w:sz w:val="48"/>
          <w:szCs w:val="48"/>
          <w:highlight w:val="none"/>
          <w:lang w:val="en-US" w:eastAsia="zh-CN" w:bidi="ar-SA"/>
        </w:rPr>
      </w:pPr>
      <w:r>
        <w:rPr>
          <w:rFonts w:hint="eastAsia" w:ascii="黑体" w:hAnsi="黑体" w:eastAsia="黑体" w:cs="黑体"/>
          <w:bCs/>
          <w:color w:val="auto"/>
          <w:kern w:val="0"/>
          <w:sz w:val="48"/>
          <w:szCs w:val="48"/>
          <w:highlight w:val="none"/>
          <w:lang w:val="en-US" w:eastAsia="zh-CN" w:bidi="ar-SA"/>
        </w:rPr>
        <w:t>2020年开福区人力资源和社会保障局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3840" w:firstLineChars="800"/>
        <w:jc w:val="left"/>
        <w:textAlignment w:val="auto"/>
        <w:rPr>
          <w:rFonts w:hint="eastAsia" w:ascii="黑体" w:hAnsi="黑体" w:eastAsia="黑体" w:cs="黑体"/>
          <w:bCs/>
          <w:color w:val="auto"/>
          <w:kern w:val="0"/>
          <w:sz w:val="48"/>
          <w:szCs w:val="48"/>
          <w:highlight w:val="none"/>
          <w:lang w:val="en-US" w:eastAsia="zh-CN" w:bidi="ar-SA"/>
        </w:rPr>
      </w:pPr>
      <w:r>
        <w:rPr>
          <w:rFonts w:hint="eastAsia" w:ascii="黑体" w:hAnsi="黑体" w:eastAsia="黑体" w:cs="黑体"/>
          <w:bCs/>
          <w:color w:val="auto"/>
          <w:kern w:val="0"/>
          <w:sz w:val="48"/>
          <w:szCs w:val="48"/>
          <w:highlight w:val="none"/>
          <w:lang w:val="en-US" w:eastAsia="zh-CN" w:bidi="ar-SA"/>
        </w:rPr>
        <w:t>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highlight w:val="none"/>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highlight w:val="none"/>
        </w:rPr>
      </w:pPr>
      <w:r>
        <w:rPr>
          <w:rFonts w:hint="eastAsia" w:ascii="Times New Roman" w:hAnsi="Times New Roman" w:eastAsia="黑体" w:cs="Times New Roman"/>
          <w:bCs/>
          <w:color w:val="auto"/>
          <w:kern w:val="0"/>
          <w:sz w:val="32"/>
          <w:szCs w:val="32"/>
          <w:highlight w:val="none"/>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bCs/>
          <w:color w:val="auto"/>
          <w:kern w:val="0"/>
          <w:sz w:val="32"/>
          <w:szCs w:val="32"/>
          <w:highlight w:val="none"/>
          <w:lang w:val="en-US" w:eastAsia="zh-CN" w:bidi="ar-SA"/>
        </w:rPr>
      </w:pPr>
      <w:r>
        <w:rPr>
          <w:rFonts w:hint="eastAsia" w:ascii="黑体" w:hAnsi="黑体" w:eastAsia="黑体" w:cs="黑体"/>
          <w:b/>
          <w:bCs/>
          <w:color w:val="auto"/>
          <w:kern w:val="0"/>
          <w:sz w:val="32"/>
          <w:szCs w:val="32"/>
          <w:highlight w:val="none"/>
          <w:lang w:val="en-US" w:eastAsia="zh-CN" w:bidi="ar-SA"/>
        </w:rPr>
        <w:t>第一部分 开福区人力资源和社会保障局部门概况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一、部门职责</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第二部分 部门决算表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八、政府性基金预算财政拨款收入支出决算表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highlight w:val="none"/>
        </w:rPr>
      </w:pPr>
      <w:r>
        <w:rPr>
          <w:rFonts w:hint="eastAsia" w:ascii="黑体" w:hAnsi="黑体" w:eastAsia="黑体" w:cs="黑体"/>
          <w:b/>
          <w:bCs/>
          <w:color w:val="auto"/>
          <w:kern w:val="0"/>
          <w:sz w:val="32"/>
          <w:szCs w:val="32"/>
          <w:highlight w:val="none"/>
        </w:rPr>
        <w:t xml:space="preserve">第三部分 </w:t>
      </w:r>
      <w:r>
        <w:rPr>
          <w:rFonts w:hint="eastAsia" w:ascii="黑体" w:hAnsi="黑体" w:eastAsia="黑体" w:cs="黑体"/>
          <w:b/>
          <w:bCs/>
          <w:color w:val="auto"/>
          <w:kern w:val="0"/>
          <w:sz w:val="32"/>
          <w:szCs w:val="32"/>
          <w:highlight w:val="none"/>
          <w:lang w:val="en-US" w:eastAsia="zh-CN"/>
        </w:rPr>
        <w:t>2020</w:t>
      </w:r>
      <w:r>
        <w:rPr>
          <w:rFonts w:hint="eastAsia" w:ascii="黑体" w:hAnsi="黑体" w:eastAsia="黑体" w:cs="黑体"/>
          <w:b/>
          <w:bCs/>
          <w:color w:val="auto"/>
          <w:kern w:val="0"/>
          <w:sz w:val="32"/>
          <w:szCs w:val="32"/>
          <w:highlight w:val="none"/>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八、政府性基金预算收入支出决算情况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九、关于2020年度预算绩效情况的说明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w:t>
      </w:r>
      <w:r>
        <w:rPr>
          <w:rFonts w:hint="eastAsia" w:ascii="仿宋" w:hAnsi="仿宋" w:eastAsia="仿宋" w:cs="仿宋"/>
          <w:color w:val="auto"/>
          <w:kern w:val="0"/>
          <w:sz w:val="32"/>
          <w:szCs w:val="32"/>
          <w:highlight w:val="none"/>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第五部分 附件</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highlight w:val="none"/>
        </w:rPr>
      </w:pP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highlight w:val="none"/>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color w:val="auto"/>
          <w:kern w:val="0"/>
          <w:sz w:val="44"/>
          <w:szCs w:val="44"/>
          <w:highlight w:val="none"/>
          <w:lang w:val="en-US" w:eastAsia="zh-CN" w:bidi="ar-SA"/>
        </w:rPr>
      </w:pPr>
      <w:r>
        <w:rPr>
          <w:rFonts w:hint="eastAsia" w:ascii="黑体" w:hAnsi="黑体" w:eastAsia="黑体" w:cs="黑体"/>
          <w:b/>
          <w:bCs w:val="0"/>
          <w:color w:val="auto"/>
          <w:kern w:val="0"/>
          <w:sz w:val="44"/>
          <w:szCs w:val="44"/>
          <w:highlight w:val="none"/>
          <w:lang w:val="en-US" w:eastAsia="zh-CN" w:bidi="ar-SA"/>
        </w:rPr>
        <w:t>第一部分 开福区人力资源和社会保障局部门概况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（1）贯彻执行国家、省、市关于人力资源和社会保障的法律法规、规章制度。拟订全区人力资源和社会保障事业发展规划，并组织实施;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（2）拟订全区人力资源市场发展规划并组织实施，落实人力资源服务业发展、人力资源流动政策，促进人力资源合理流动、有效配置;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（3）负责全区促进就业工作，拟订统筹城乡的就业发展规划并组织实施，完善公共就业创业服务体系，统筹建立面向城乡劳动者的职业技能培训制度，落实就业援助制度，贯彻落实高校毕业生就业政策;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4）统筹推进建立全区覆盖城乡的多层次社会保障体系。落实养老、失业、工伤等社会保险（不含医疗保险，生育保险，下同）及其补充保险政策和标准。落实养老、失业、工伤等社会保险及其补充保险基金管理和监督制度，编制全区社会保险基金预决算草案；会同有关部门落实全民参保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（5）负责全区就业、失业、相关社会保险基金预测预警和信息引导，拟订应对预案，实施预防、调节和控制，保持就业形势稳定，确保相关社会保险基金安全运行;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（6）贯彻执行劳动人事争议调解仲裁工作规划和劳动关系政策，完善劳动关系协商协调机制，监督落实全区职工工作时间、休息休假和假期制度，监督落实全区消除非法使用童工政策, 监督落实全区女工、未成年工特殊劳动保护政策。组织实施劳动保障监察，协调劳动者维权工作，依法查处重大案件;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7）牵头推进全区深化职称制度改革，贯彻落实专业技术人员管理、继续教育和博士后管理等政策，负责高层次专业技术人才选拔和培养工作，落实吸引留学人员来区（回国）工作或定居政策。落实技能人才培养、评价、使用和激励制度，执行职业资格制度，落实职业技能多元化评价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（8）会同有关部门指导事业单位人事制度改革，按照管理权限负责规范事业单位岗位设置、公开招聘、聘用合同等人事综合管理工作，贯彻落实事业单位工作人员和机关工勤人员管理政策;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（9）贯彻执行事业单位人员工资收入分配政策，贯彻执行事业单位人员福利和离退休政策。落实国家、省、市表彰奖励制度;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（10）贯彻执行农民工工作相关政策，协调解决重点难点问题，维护农民工合法权益;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（11）完成区委、区政府交办的其他任务;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12）职能转变。深入推进简政放权、放管结合、优化服务改革，进一步减少行政审批事项，规范和优化对外办理事项，加强事中事后监管，创新就业和社会保障等公共服务方式，加强信息共享，提高公共服务水平。</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auto"/>
          <w:spacing w:val="0"/>
          <w:sz w:val="32"/>
          <w:szCs w:val="32"/>
          <w:highlight w:val="none"/>
        </w:rPr>
      </w:pPr>
      <w:r>
        <w:rPr>
          <w:rFonts w:hint="eastAsia" w:ascii="黑体" w:hAnsi="黑体" w:eastAsia="黑体" w:cs="黑体"/>
          <w:b w:val="0"/>
          <w:bCs/>
          <w:color w:val="auto"/>
          <w:kern w:val="0"/>
          <w:sz w:val="32"/>
          <w:szCs w:val="32"/>
          <w:highlight w:val="none"/>
        </w:rPr>
        <w:t>二、机构设置</w:t>
      </w:r>
      <w:r>
        <w:rPr>
          <w:rFonts w:hint="eastAsia" w:ascii="黑体" w:hAnsi="黑体" w:eastAsia="黑体" w:cs="黑体"/>
          <w:b w:val="0"/>
          <w:bCs/>
          <w:color w:val="auto"/>
          <w:kern w:val="0"/>
          <w:sz w:val="32"/>
          <w:szCs w:val="32"/>
          <w:highlight w:val="none"/>
        </w:rPr>
        <w:t>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内设机构设置。开福区人力资源和社会保障局内设机构包括：办公室、行政审批和政务服务科、综合管理科、工资福利科、社会保险管理科、就业促进科。本单位核定机关行政编制数14名，其中：在岗人数14人；编外长期聘用人员8人；离退休人数12人，其中离休人员0人，退休人员12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（二）决算单位构成。开福区人力资源和社会保障局2020年部门决算汇总公开单位构成仅开福区人力资源和社会保障局本级。</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第二部分 开福区人力资源和社会保障局单位2020年度部门决算表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highlight w:val="none"/>
        </w:rPr>
      </w:pPr>
    </w:p>
    <w:p>
      <w:pPr>
        <w:pStyle w:val="5"/>
        <w:keepNext w:val="0"/>
        <w:keepLines w:val="0"/>
        <w:pageBreakBefore w:val="0"/>
        <w:kinsoku/>
        <w:wordWrap/>
        <w:overflowPunct/>
        <w:topLinePunct w:val="0"/>
        <w:bidi w:val="0"/>
        <w:snapToGrid/>
        <w:spacing w:line="600" w:lineRule="exact"/>
        <w:ind w:firstLine="883" w:firstLineChars="200"/>
        <w:jc w:val="center"/>
        <w:textAlignment w:val="auto"/>
        <w:rPr>
          <w:rFonts w:hint="eastAsia"/>
          <w:color w:val="auto"/>
          <w:sz w:val="84"/>
          <w:szCs w:val="84"/>
          <w:highlight w:val="none"/>
        </w:rPr>
      </w:pPr>
      <w:r>
        <w:rPr>
          <w:rFonts w:hint="eastAsia" w:ascii="黑体" w:hAnsi="黑体" w:eastAsia="黑体" w:cs="黑体"/>
          <w:b/>
          <w:bCs/>
          <w:color w:val="auto"/>
          <w:sz w:val="44"/>
          <w:szCs w:val="44"/>
          <w:highlight w:val="none"/>
        </w:rPr>
        <w:t>第二部分</w:t>
      </w:r>
      <w:r>
        <w:rPr>
          <w:rFonts w:hint="eastAsia" w:hAnsi="黑体" w:cs="黑体"/>
          <w:b/>
          <w:bCs/>
          <w:color w:val="auto"/>
          <w:sz w:val="44"/>
          <w:szCs w:val="44"/>
          <w:highlight w:val="none"/>
          <w:lang w:val="en-US" w:eastAsia="zh-CN"/>
        </w:rPr>
        <w:t xml:space="preserve"> </w:t>
      </w:r>
      <w:r>
        <w:rPr>
          <w:rFonts w:hint="eastAsia" w:ascii="黑体" w:hAnsi="黑体" w:eastAsia="黑体" w:cs="黑体"/>
          <w:b/>
          <w:bCs/>
          <w:color w:val="auto"/>
          <w:sz w:val="44"/>
          <w:szCs w:val="44"/>
          <w:highlight w:val="none"/>
        </w:rPr>
        <w:t>部门决算表</w:t>
      </w:r>
    </w:p>
    <w:p>
      <w:pPr>
        <w:keepNext w:val="0"/>
        <w:keepLines w:val="0"/>
        <w:pageBreakBefore w:val="0"/>
        <w:kinsoku/>
        <w:wordWrap/>
        <w:overflowPunct/>
        <w:topLinePunct w:val="0"/>
        <w:bidi w:val="0"/>
        <w:snapToGrid/>
        <w:spacing w:line="600" w:lineRule="exact"/>
        <w:ind w:firstLine="640" w:firstLineChars="200"/>
        <w:jc w:val="center"/>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color w:val="auto"/>
          <w:sz w:val="32"/>
          <w:szCs w:val="32"/>
          <w:highlight w:val="none"/>
          <w:lang w:eastAsia="zh-CN"/>
        </w:rPr>
        <w:t>（详见附表）</w:t>
      </w:r>
      <w:r>
        <w:rPr>
          <w:rFonts w:hint="eastAsia" w:ascii="仿宋" w:hAnsi="仿宋" w:eastAsia="仿宋" w:cs="仿宋"/>
          <w:i w:val="0"/>
          <w:iCs w:val="0"/>
          <w:caps w:val="0"/>
          <w:color w:val="auto"/>
          <w:spacing w:val="0"/>
          <w:sz w:val="32"/>
          <w:szCs w:val="32"/>
          <w:highlight w:val="none"/>
          <w:shd w:val="clear" w:fill="FFFFFF"/>
        </w:rPr>
        <w:drawing>
          <wp:inline distT="0" distB="0" distL="114300" distR="114300">
            <wp:extent cx="304800" cy="304800"/>
            <wp:effectExtent l="0" t="0" r="0" b="0"/>
            <wp:docPr id="7" name="图片 7" descr="7一般公共预算财政拨款“三公”经费支出决算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一般公共预算财政拨款“三公”经费支出决算表.jpg"/>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i w:val="0"/>
          <w:iCs w:val="0"/>
          <w:caps w:val="0"/>
          <w:color w:val="auto"/>
          <w:spacing w:val="0"/>
          <w:sz w:val="32"/>
          <w:szCs w:val="32"/>
          <w:highlight w:val="none"/>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仿宋" w:hAnsi="仿宋" w:eastAsia="仿宋" w:cs="仿宋"/>
          <w:i w:val="0"/>
          <w:iCs w:val="0"/>
          <w:caps w:val="0"/>
          <w:color w:val="auto"/>
          <w:spacing w:val="0"/>
          <w:sz w:val="32"/>
          <w:szCs w:val="32"/>
          <w:highlight w:val="none"/>
        </w:rPr>
      </w:pPr>
      <w:r>
        <w:rPr>
          <w:rFonts w:hint="eastAsia" w:ascii="黑体" w:hAnsi="黑体" w:eastAsia="黑体" w:cs="黑体"/>
          <w:b/>
          <w:bCs w:val="0"/>
          <w:color w:val="auto"/>
          <w:kern w:val="0"/>
          <w:sz w:val="44"/>
          <w:szCs w:val="44"/>
          <w:highlight w:val="none"/>
        </w:rPr>
        <w:t>第三部分  2020年度部门决算情况说明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2020年度收入</w:t>
      </w:r>
      <w:r>
        <w:rPr>
          <w:rFonts w:hint="eastAsia" w:ascii="仿宋" w:hAnsi="仿宋" w:eastAsia="仿宋" w:cs="仿宋"/>
          <w:i w:val="0"/>
          <w:iCs w:val="0"/>
          <w:caps w:val="0"/>
          <w:color w:val="auto"/>
          <w:spacing w:val="0"/>
          <w:sz w:val="32"/>
          <w:szCs w:val="32"/>
          <w:highlight w:val="none"/>
          <w:shd w:val="clear" w:fill="FFFFFF"/>
          <w:lang w:val="en-US" w:eastAsia="zh-CN"/>
        </w:rPr>
        <w:t>935.28</w:t>
      </w:r>
      <w:r>
        <w:rPr>
          <w:rFonts w:hint="eastAsia" w:ascii="仿宋" w:hAnsi="仿宋" w:eastAsia="仿宋" w:cs="仿宋"/>
          <w:i w:val="0"/>
          <w:iCs w:val="0"/>
          <w:caps w:val="0"/>
          <w:color w:val="auto"/>
          <w:spacing w:val="0"/>
          <w:sz w:val="32"/>
          <w:szCs w:val="32"/>
          <w:highlight w:val="none"/>
          <w:shd w:val="clear" w:fill="FFFFFF"/>
        </w:rPr>
        <w:t>万元、支出</w:t>
      </w:r>
      <w:r>
        <w:rPr>
          <w:rFonts w:hint="eastAsia" w:ascii="仿宋" w:hAnsi="仿宋" w:eastAsia="仿宋" w:cs="仿宋"/>
          <w:i w:val="0"/>
          <w:iCs w:val="0"/>
          <w:caps w:val="0"/>
          <w:color w:val="auto"/>
          <w:spacing w:val="0"/>
          <w:sz w:val="32"/>
          <w:szCs w:val="32"/>
          <w:highlight w:val="none"/>
          <w:shd w:val="clear" w:fill="FFFFFF"/>
          <w:lang w:val="en-US" w:eastAsia="zh-CN"/>
        </w:rPr>
        <w:t>935.28</w:t>
      </w:r>
      <w:r>
        <w:rPr>
          <w:rFonts w:hint="eastAsia" w:ascii="仿宋" w:hAnsi="仿宋" w:eastAsia="仿宋" w:cs="仿宋"/>
          <w:i w:val="0"/>
          <w:iCs w:val="0"/>
          <w:caps w:val="0"/>
          <w:color w:val="auto"/>
          <w:spacing w:val="0"/>
          <w:sz w:val="32"/>
          <w:szCs w:val="32"/>
          <w:highlight w:val="none"/>
          <w:shd w:val="clear" w:fill="FFFFFF"/>
        </w:rPr>
        <w:t>万元。与2019年相比，分别减少10</w:t>
      </w:r>
      <w:r>
        <w:rPr>
          <w:rFonts w:hint="eastAsia" w:ascii="仿宋" w:hAnsi="仿宋" w:eastAsia="仿宋" w:cs="仿宋"/>
          <w:i w:val="0"/>
          <w:iCs w:val="0"/>
          <w:caps w:val="0"/>
          <w:color w:val="auto"/>
          <w:spacing w:val="0"/>
          <w:sz w:val="32"/>
          <w:szCs w:val="32"/>
          <w:highlight w:val="none"/>
          <w:shd w:val="clear" w:fill="FFFFFF"/>
          <w:lang w:val="en-US" w:eastAsia="zh-CN"/>
        </w:rPr>
        <w:t>2.97</w:t>
      </w:r>
      <w:r>
        <w:rPr>
          <w:rFonts w:hint="eastAsia" w:ascii="仿宋" w:hAnsi="仿宋" w:eastAsia="仿宋" w:cs="仿宋"/>
          <w:i w:val="0"/>
          <w:iCs w:val="0"/>
          <w:caps w:val="0"/>
          <w:color w:val="auto"/>
          <w:spacing w:val="0"/>
          <w:sz w:val="32"/>
          <w:szCs w:val="32"/>
          <w:highlight w:val="none"/>
          <w:shd w:val="clear" w:fill="FFFFFF"/>
        </w:rPr>
        <w:t>万元</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b w:val="0"/>
          <w:bCs w:val="0"/>
          <w:color w:val="auto"/>
          <w:sz w:val="32"/>
          <w:szCs w:val="32"/>
          <w:highlight w:val="none"/>
        </w:rPr>
        <w:t>减少</w:t>
      </w:r>
      <w:r>
        <w:rPr>
          <w:rFonts w:hint="eastAsia" w:ascii="仿宋" w:hAnsi="仿宋" w:eastAsia="仿宋" w:cs="仿宋"/>
          <w:b w:val="0"/>
          <w:bCs w:val="0"/>
          <w:color w:val="auto"/>
          <w:sz w:val="32"/>
          <w:szCs w:val="32"/>
          <w:highlight w:val="none"/>
          <w:lang w:val="en-US" w:eastAsia="zh-CN"/>
        </w:rPr>
        <w:t>9.92</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i w:val="0"/>
          <w:iCs w:val="0"/>
          <w:caps w:val="0"/>
          <w:color w:val="auto"/>
          <w:spacing w:val="0"/>
          <w:sz w:val="32"/>
          <w:szCs w:val="32"/>
          <w:highlight w:val="none"/>
          <w:shd w:val="clear" w:fill="FFFFFF"/>
        </w:rPr>
        <w:t>主要是因为机构改革后，本单位部分职能划分到其他部门，相应拨款专项资金减少；同时2020年度进一步厉行节约，压缩开支。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本年收入合计</w:t>
      </w:r>
      <w:r>
        <w:rPr>
          <w:rFonts w:hint="eastAsia" w:ascii="仿宋" w:hAnsi="仿宋" w:eastAsia="仿宋" w:cs="仿宋"/>
          <w:i w:val="0"/>
          <w:iCs w:val="0"/>
          <w:caps w:val="0"/>
          <w:color w:val="auto"/>
          <w:spacing w:val="0"/>
          <w:sz w:val="32"/>
          <w:szCs w:val="32"/>
          <w:highlight w:val="none"/>
          <w:shd w:val="clear" w:fill="FFFFFF"/>
          <w:lang w:val="en-US" w:eastAsia="zh-CN"/>
        </w:rPr>
        <w:t>818.16</w:t>
      </w:r>
      <w:r>
        <w:rPr>
          <w:rFonts w:hint="eastAsia" w:ascii="仿宋" w:hAnsi="仿宋" w:eastAsia="仿宋" w:cs="仿宋"/>
          <w:i w:val="0"/>
          <w:iCs w:val="0"/>
          <w:caps w:val="0"/>
          <w:color w:val="auto"/>
          <w:spacing w:val="0"/>
          <w:sz w:val="32"/>
          <w:szCs w:val="32"/>
          <w:highlight w:val="none"/>
          <w:shd w:val="clear" w:fill="FFFFFF"/>
        </w:rPr>
        <w:t>万元，其中：财政拨款收入818.16万元，占100%；上级补助收入0万元，占0%；事业收入0万元，占0%；经营收入0万元，占0%；附属单位上缴收入0万元，占0%；其他收入0万元，占0%。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本年支出合计789.36万元，其中：基本支出588.36万元，占74.54%；项目支出201万元，占25.46%；上缴上级支出0万元，占0%；经营支出0万元，占0%；对附属单位补助支出0万元，占0%。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2020年度财政拨款收入</w:t>
      </w:r>
      <w:r>
        <w:rPr>
          <w:rFonts w:hint="eastAsia" w:ascii="仿宋" w:hAnsi="仿宋" w:eastAsia="仿宋" w:cs="仿宋"/>
          <w:i w:val="0"/>
          <w:iCs w:val="0"/>
          <w:caps w:val="0"/>
          <w:color w:val="auto"/>
          <w:spacing w:val="0"/>
          <w:sz w:val="32"/>
          <w:szCs w:val="32"/>
          <w:highlight w:val="none"/>
          <w:shd w:val="clear" w:fill="FFFFFF"/>
          <w:lang w:val="en-US" w:eastAsia="zh-CN"/>
        </w:rPr>
        <w:t>935.28</w:t>
      </w:r>
      <w:r>
        <w:rPr>
          <w:rFonts w:hint="eastAsia" w:ascii="仿宋" w:hAnsi="仿宋" w:eastAsia="仿宋" w:cs="仿宋"/>
          <w:i w:val="0"/>
          <w:iCs w:val="0"/>
          <w:caps w:val="0"/>
          <w:color w:val="auto"/>
          <w:spacing w:val="0"/>
          <w:sz w:val="32"/>
          <w:szCs w:val="32"/>
          <w:highlight w:val="none"/>
          <w:shd w:val="clear" w:fill="FFFFFF"/>
        </w:rPr>
        <w:t>万元、支出</w:t>
      </w:r>
      <w:r>
        <w:rPr>
          <w:rFonts w:hint="eastAsia" w:ascii="仿宋" w:hAnsi="仿宋" w:eastAsia="仿宋" w:cs="仿宋"/>
          <w:i w:val="0"/>
          <w:iCs w:val="0"/>
          <w:caps w:val="0"/>
          <w:color w:val="auto"/>
          <w:spacing w:val="0"/>
          <w:sz w:val="32"/>
          <w:szCs w:val="32"/>
          <w:highlight w:val="none"/>
          <w:shd w:val="clear" w:fill="FFFFFF"/>
          <w:lang w:val="en-US" w:eastAsia="zh-CN"/>
        </w:rPr>
        <w:t>935.28</w:t>
      </w:r>
      <w:r>
        <w:rPr>
          <w:rFonts w:hint="eastAsia" w:ascii="仿宋" w:hAnsi="仿宋" w:eastAsia="仿宋" w:cs="仿宋"/>
          <w:i w:val="0"/>
          <w:iCs w:val="0"/>
          <w:caps w:val="0"/>
          <w:color w:val="auto"/>
          <w:spacing w:val="0"/>
          <w:sz w:val="32"/>
          <w:szCs w:val="32"/>
          <w:highlight w:val="none"/>
          <w:shd w:val="clear" w:fill="FFFFFF"/>
        </w:rPr>
        <w:t>万元。与2019年相比，减少</w:t>
      </w:r>
      <w:r>
        <w:rPr>
          <w:rFonts w:hint="eastAsia" w:ascii="仿宋" w:hAnsi="仿宋" w:eastAsia="仿宋" w:cs="仿宋"/>
          <w:i w:val="0"/>
          <w:iCs w:val="0"/>
          <w:caps w:val="0"/>
          <w:color w:val="auto"/>
          <w:spacing w:val="0"/>
          <w:sz w:val="32"/>
          <w:szCs w:val="32"/>
          <w:highlight w:val="none"/>
          <w:shd w:val="clear" w:fill="FFFFFF"/>
          <w:lang w:val="en-US" w:eastAsia="zh-CN"/>
        </w:rPr>
        <w:t>102.97</w:t>
      </w:r>
      <w:r>
        <w:rPr>
          <w:rFonts w:hint="eastAsia" w:ascii="仿宋" w:hAnsi="仿宋" w:eastAsia="仿宋" w:cs="仿宋"/>
          <w:i w:val="0"/>
          <w:iCs w:val="0"/>
          <w:caps w:val="0"/>
          <w:color w:val="auto"/>
          <w:spacing w:val="0"/>
          <w:sz w:val="32"/>
          <w:szCs w:val="32"/>
          <w:highlight w:val="none"/>
          <w:shd w:val="clear" w:fill="FFFFFF"/>
        </w:rPr>
        <w:t>万元</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rPr>
        <w:t>减少</w:t>
      </w:r>
      <w:r>
        <w:rPr>
          <w:rFonts w:hint="eastAsia" w:ascii="仿宋" w:hAnsi="仿宋" w:eastAsia="仿宋" w:cs="仿宋"/>
          <w:i w:val="0"/>
          <w:iCs w:val="0"/>
          <w:caps w:val="0"/>
          <w:color w:val="auto"/>
          <w:spacing w:val="0"/>
          <w:sz w:val="32"/>
          <w:szCs w:val="32"/>
          <w:highlight w:val="none"/>
          <w:shd w:val="clear" w:fill="FFFFFF"/>
          <w:lang w:val="en-US" w:eastAsia="zh-CN"/>
        </w:rPr>
        <w:t>9.92</w:t>
      </w:r>
      <w:r>
        <w:rPr>
          <w:rFonts w:hint="eastAsia" w:ascii="仿宋" w:hAnsi="仿宋" w:eastAsia="仿宋" w:cs="仿宋"/>
          <w:i w:val="0"/>
          <w:iCs w:val="0"/>
          <w:caps w:val="0"/>
          <w:color w:val="auto"/>
          <w:spacing w:val="0"/>
          <w:sz w:val="32"/>
          <w:szCs w:val="32"/>
          <w:highlight w:val="none"/>
          <w:shd w:val="clear" w:fill="FFFFFF"/>
        </w:rPr>
        <w:t>%，主要是因为2020年度进一步厉行节约，压缩开支。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2020年度财政拨款支出789.36万元，占本年支出合计的100%，与2019年相比，财政拨款支出减少63.37万元，减</w:t>
      </w:r>
      <w:r>
        <w:rPr>
          <w:rFonts w:hint="eastAsia" w:ascii="仿宋" w:hAnsi="仿宋" w:eastAsia="仿宋" w:cs="仿宋"/>
          <w:i w:val="0"/>
          <w:iCs w:val="0"/>
          <w:caps w:val="0"/>
          <w:color w:val="auto"/>
          <w:spacing w:val="0"/>
          <w:sz w:val="32"/>
          <w:szCs w:val="32"/>
          <w:highlight w:val="none"/>
          <w:shd w:val="clear" w:fill="FFFFFF"/>
          <w:lang w:eastAsia="zh-CN"/>
        </w:rPr>
        <w:t>少</w:t>
      </w:r>
      <w:r>
        <w:rPr>
          <w:rFonts w:hint="eastAsia" w:ascii="仿宋" w:hAnsi="仿宋" w:eastAsia="仿宋" w:cs="仿宋"/>
          <w:i w:val="0"/>
          <w:iCs w:val="0"/>
          <w:caps w:val="0"/>
          <w:color w:val="auto"/>
          <w:spacing w:val="0"/>
          <w:sz w:val="32"/>
          <w:szCs w:val="32"/>
          <w:highlight w:val="none"/>
          <w:shd w:val="clear" w:fill="FFFFFF"/>
        </w:rPr>
        <w:t>7.43%，主要是因为2020年度进一步厉行节约，压缩开支。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2020年度财政拨款支出789.36万元，主要用于以下方面：一般公共服务（类）支出338.66万元，占42.9%；社会保障和就业支出418万元，占52.9</w:t>
      </w:r>
      <w:r>
        <w:rPr>
          <w:rFonts w:hint="eastAsia" w:ascii="仿宋" w:hAnsi="仿宋" w:eastAsia="仿宋" w:cs="仿宋"/>
          <w:i w:val="0"/>
          <w:iCs w:val="0"/>
          <w:caps w:val="0"/>
          <w:color w:val="auto"/>
          <w:spacing w:val="0"/>
          <w:sz w:val="32"/>
          <w:szCs w:val="32"/>
          <w:highlight w:val="none"/>
          <w:shd w:val="clear" w:fill="FFFFFF"/>
          <w:lang w:val="en-US" w:eastAsia="zh-CN"/>
        </w:rPr>
        <w:t>6</w:t>
      </w:r>
      <w:r>
        <w:rPr>
          <w:rFonts w:hint="eastAsia" w:ascii="仿宋" w:hAnsi="仿宋" w:eastAsia="仿宋" w:cs="仿宋"/>
          <w:i w:val="0"/>
          <w:iCs w:val="0"/>
          <w:caps w:val="0"/>
          <w:color w:val="auto"/>
          <w:spacing w:val="0"/>
          <w:sz w:val="32"/>
          <w:szCs w:val="32"/>
          <w:highlight w:val="none"/>
          <w:shd w:val="clear" w:fill="FFFFFF"/>
        </w:rPr>
        <w:t>%;城乡社区支出6万元，占0.76%；住房保障支出26.7万元，占3.38%。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2020年度财政拨款支出年初预算数为575.79万元，支出决算数为789.36万元，完成年初预算的137.</w:t>
      </w:r>
      <w:r>
        <w:rPr>
          <w:rFonts w:hint="eastAsia" w:ascii="仿宋" w:hAnsi="仿宋" w:eastAsia="仿宋" w:cs="仿宋"/>
          <w:i w:val="0"/>
          <w:iCs w:val="0"/>
          <w:caps w:val="0"/>
          <w:color w:val="auto"/>
          <w:spacing w:val="0"/>
          <w:sz w:val="32"/>
          <w:szCs w:val="32"/>
          <w:highlight w:val="none"/>
          <w:shd w:val="clear" w:fill="FFFFFF"/>
          <w:lang w:val="en-US" w:eastAsia="zh-CN"/>
        </w:rPr>
        <w:t>09</w:t>
      </w:r>
      <w:r>
        <w:rPr>
          <w:rFonts w:hint="eastAsia" w:ascii="仿宋" w:hAnsi="仿宋" w:eastAsia="仿宋" w:cs="仿宋"/>
          <w:i w:val="0"/>
          <w:iCs w:val="0"/>
          <w:caps w:val="0"/>
          <w:color w:val="auto"/>
          <w:spacing w:val="0"/>
          <w:sz w:val="32"/>
          <w:szCs w:val="32"/>
          <w:highlight w:val="none"/>
          <w:shd w:val="clear" w:fill="FFFFFF"/>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1、一般公共服务（类）人力资源事务（款）行政运行（项）。</w:t>
      </w:r>
    </w:p>
    <w:p>
      <w:pPr>
        <w:pStyle w:val="2"/>
        <w:widowControl/>
        <w:shd w:val="clear" w:color="auto" w:fill="FFFFFF"/>
        <w:spacing w:beforeAutospacing="0" w:afterAutospacing="0" w:line="600" w:lineRule="exact"/>
        <w:ind w:firstLine="640" w:firstLineChars="200"/>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i w:val="0"/>
          <w:iCs w:val="0"/>
          <w:caps w:val="0"/>
          <w:color w:val="auto"/>
          <w:spacing w:val="0"/>
          <w:sz w:val="32"/>
          <w:szCs w:val="32"/>
          <w:highlight w:val="none"/>
          <w:shd w:val="clear" w:fill="FFFFFF"/>
        </w:rPr>
        <w:t>年初预算为556.30万元，支出决算为251.29万元，完成年初预算的45.17%，决算数小于年初预算数的主要原因是：</w:t>
      </w:r>
      <w:r>
        <w:rPr>
          <w:rFonts w:hint="eastAsia" w:ascii="仿宋" w:hAnsi="仿宋" w:eastAsia="仿宋" w:cs="仿宋"/>
          <w:color w:val="auto"/>
          <w:sz w:val="32"/>
          <w:szCs w:val="32"/>
          <w:highlight w:val="none"/>
          <w:shd w:val="clear" w:color="auto" w:fill="FFFFFF"/>
          <w:lang w:eastAsia="zh-CN"/>
        </w:rPr>
        <w:t>一是</w:t>
      </w:r>
      <w:r>
        <w:rPr>
          <w:rFonts w:hint="eastAsia" w:ascii="仿宋" w:hAnsi="仿宋" w:eastAsia="仿宋" w:cs="仿宋"/>
          <w:color w:val="auto"/>
          <w:sz w:val="32"/>
          <w:szCs w:val="32"/>
          <w:highlight w:val="none"/>
          <w:shd w:val="clear" w:color="auto" w:fill="FFFFFF"/>
        </w:rPr>
        <w:t>预算将</w:t>
      </w:r>
      <w:r>
        <w:rPr>
          <w:rFonts w:hint="eastAsia" w:ascii="仿宋" w:hAnsi="仿宋" w:eastAsia="仿宋" w:cs="仿宋"/>
          <w:color w:val="auto"/>
          <w:sz w:val="32"/>
          <w:szCs w:val="32"/>
          <w:highlight w:val="none"/>
          <w:shd w:val="clear" w:color="auto" w:fill="FFFFFF"/>
          <w:lang w:eastAsia="zh-CN"/>
        </w:rPr>
        <w:t>本年的工资福利支出、商品和服务支出以及对个人和家庭的补助均</w:t>
      </w:r>
      <w:r>
        <w:rPr>
          <w:rFonts w:hint="eastAsia" w:ascii="仿宋" w:hAnsi="仿宋" w:eastAsia="仿宋" w:cs="仿宋"/>
          <w:color w:val="auto"/>
          <w:sz w:val="32"/>
          <w:szCs w:val="32"/>
          <w:highlight w:val="none"/>
          <w:shd w:val="clear" w:color="auto" w:fill="FFFFFF"/>
        </w:rPr>
        <w:t>计</w:t>
      </w:r>
      <w:r>
        <w:rPr>
          <w:rFonts w:hint="eastAsia" w:ascii="仿宋" w:hAnsi="仿宋" w:eastAsia="仿宋" w:cs="仿宋"/>
          <w:color w:val="auto"/>
          <w:sz w:val="32"/>
          <w:szCs w:val="32"/>
          <w:highlight w:val="none"/>
          <w:shd w:val="clear" w:color="auto" w:fill="FFFFFF"/>
          <w:lang w:eastAsia="zh-CN"/>
        </w:rPr>
        <w:t>入到该项中，决算中包含商品和服务支出和对个人和家庭的补助，二是</w:t>
      </w:r>
      <w:r>
        <w:rPr>
          <w:rFonts w:hint="eastAsia" w:ascii="仿宋" w:hAnsi="仿宋" w:eastAsia="仿宋" w:cs="仿宋"/>
          <w:color w:val="auto"/>
          <w:sz w:val="32"/>
          <w:szCs w:val="32"/>
          <w:highlight w:val="none"/>
          <w:shd w:val="clear" w:color="auto" w:fill="FFFFFF"/>
        </w:rPr>
        <w:t>根据相关要求，牢固树立过“紧日子”思想，厉行勤俭节约，压减一般性支出</w:t>
      </w:r>
      <w:r>
        <w:rPr>
          <w:rFonts w:hint="eastAsia" w:ascii="仿宋" w:hAnsi="仿宋" w:eastAsia="仿宋" w:cs="仿宋"/>
          <w:color w:val="auto"/>
          <w:sz w:val="32"/>
          <w:szCs w:val="32"/>
          <w:highlight w:val="none"/>
          <w:shd w:val="clear" w:color="auto"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2、一般公共服务（类）人力资源事务（款）一般行政管理事务（项）。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年初预算为0万元，支出决算为3万元，决算数大于年初预算数的主要原因是：为全区干部购买考核纪实手册。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3、一般公共服务（类）人力资源事务（款）机关服务（项）。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年初预算为18.74万元，支出决算为21.37万元，完成年初预算的114.03%，决算数大于年初预算数的主要原因是：全区临聘人员人数增加，劳务派遣服务费相应增加。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4、一般公共服务（类）人力资源事务（款）其他人力资源事务支出（项）。</w:t>
      </w:r>
    </w:p>
    <w:p>
      <w:pPr>
        <w:pStyle w:val="2"/>
        <w:widowControl/>
        <w:shd w:val="clear" w:color="auto" w:fill="FFFFFF"/>
        <w:spacing w:beforeAutospacing="0" w:afterAutospacing="0" w:line="600" w:lineRule="exact"/>
        <w:ind w:firstLine="640" w:firstLineChars="200"/>
        <w:rPr>
          <w:rFonts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年初预算为0万元，支出决算为63万元，决算数大于年初预算数的主要原因是：</w:t>
      </w:r>
      <w:r>
        <w:rPr>
          <w:rFonts w:hint="eastAsia" w:ascii="仿宋" w:hAnsi="仿宋" w:eastAsia="仿宋" w:cs="仿宋"/>
          <w:color w:val="auto"/>
          <w:sz w:val="32"/>
          <w:szCs w:val="32"/>
          <w:highlight w:val="none"/>
          <w:shd w:val="clear" w:color="auto" w:fill="FFFFFF"/>
          <w:lang w:eastAsia="zh-CN"/>
        </w:rPr>
        <w:t>新增人事档案管理整理和</w:t>
      </w:r>
      <w:r>
        <w:rPr>
          <w:rFonts w:hint="eastAsia" w:ascii="仿宋" w:hAnsi="仿宋" w:eastAsia="仿宋" w:cs="仿宋"/>
          <w:color w:val="auto"/>
          <w:sz w:val="32"/>
          <w:szCs w:val="32"/>
          <w:highlight w:val="none"/>
          <w:shd w:val="clear" w:color="auto" w:fill="FFFFFF"/>
        </w:rPr>
        <w:t>选调招聘机关事业单位工作人员</w:t>
      </w:r>
      <w:r>
        <w:rPr>
          <w:rFonts w:hint="eastAsia" w:ascii="仿宋" w:hAnsi="仿宋" w:eastAsia="仿宋" w:cs="仿宋"/>
          <w:color w:val="auto"/>
          <w:sz w:val="32"/>
          <w:szCs w:val="32"/>
          <w:highlight w:val="none"/>
          <w:shd w:val="clear" w:color="auto" w:fill="FFFFFF"/>
          <w:lang w:eastAsia="zh-CN"/>
        </w:rPr>
        <w:t>项目工作</w:t>
      </w:r>
      <w:r>
        <w:rPr>
          <w:rFonts w:hint="eastAsia" w:ascii="仿宋" w:hAnsi="仿宋" w:eastAsia="仿宋" w:cs="仿宋"/>
          <w:color w:val="auto"/>
          <w:sz w:val="32"/>
          <w:szCs w:val="32"/>
          <w:highlight w:val="none"/>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5、社会保障和就业支出（类）人力资源和社会保障管理事务（款）行政运行（项）。</w:t>
      </w:r>
    </w:p>
    <w:p>
      <w:pPr>
        <w:pStyle w:val="2"/>
        <w:widowControl/>
        <w:shd w:val="clear" w:color="auto" w:fill="FFFFFF"/>
        <w:spacing w:beforeAutospacing="0" w:afterAutospacing="0" w:line="600" w:lineRule="exact"/>
        <w:ind w:firstLine="640" w:firstLineChars="200"/>
        <w:rPr>
          <w:rFonts w:ascii="仿宋" w:hAnsi="仿宋" w:eastAsia="仿宋" w:cs="仿宋"/>
          <w:color w:val="auto"/>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年初预算为0万元，支出决算为245.59万元，决算数大于年初预算数的主要原因是：</w:t>
      </w:r>
      <w:r>
        <w:rPr>
          <w:rFonts w:hint="eastAsia" w:ascii="仿宋" w:hAnsi="仿宋" w:eastAsia="仿宋" w:cs="仿宋"/>
          <w:color w:val="auto"/>
          <w:sz w:val="32"/>
          <w:szCs w:val="32"/>
          <w:highlight w:val="none"/>
          <w:shd w:val="clear" w:color="auto" w:fill="FFFFFF"/>
          <w:lang w:eastAsia="zh-CN"/>
        </w:rPr>
        <w:t>年初预算将行政运行支出全部计入到</w:t>
      </w:r>
      <w:r>
        <w:rPr>
          <w:rFonts w:hint="eastAsia" w:ascii="仿宋" w:hAnsi="仿宋" w:eastAsia="仿宋" w:cs="仿宋"/>
          <w:color w:val="auto"/>
          <w:sz w:val="32"/>
          <w:szCs w:val="32"/>
          <w:highlight w:val="none"/>
          <w:shd w:val="clear" w:color="auto" w:fill="FFFFFF"/>
        </w:rPr>
        <w:t>一般公共服务（类）人力资源事务（款）</w:t>
      </w:r>
      <w:r>
        <w:rPr>
          <w:rFonts w:hint="eastAsia" w:ascii="仿宋" w:hAnsi="仿宋" w:eastAsia="仿宋" w:cs="仿宋"/>
          <w:color w:val="auto"/>
          <w:sz w:val="32"/>
          <w:szCs w:val="32"/>
          <w:highlight w:val="none"/>
          <w:shd w:val="clear" w:color="auto" w:fill="FFFFFF"/>
          <w:lang w:eastAsia="zh-CN"/>
        </w:rPr>
        <w:t>中，决算将工资福利支出等计入到</w:t>
      </w:r>
      <w:r>
        <w:rPr>
          <w:rFonts w:hint="eastAsia" w:ascii="仿宋" w:hAnsi="仿宋" w:eastAsia="仿宋" w:cs="仿宋"/>
          <w:color w:val="auto"/>
          <w:sz w:val="32"/>
          <w:szCs w:val="32"/>
          <w:highlight w:val="none"/>
          <w:shd w:val="clear" w:color="auto" w:fill="FFFFFF"/>
        </w:rPr>
        <w:t>社会保障和就业支出（类）人力资源和社会保障管理事务（款）。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6、社会保障和就业支出（类）人力资源和社会保障管理事务（款）一般行政管理事务（项）。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年初预算为0万元，支出决算为106.2</w:t>
      </w:r>
      <w:r>
        <w:rPr>
          <w:rFonts w:hint="eastAsia" w:ascii="仿宋" w:hAnsi="仿宋" w:eastAsia="仿宋" w:cs="仿宋"/>
          <w:i w:val="0"/>
          <w:iCs w:val="0"/>
          <w:caps w:val="0"/>
          <w:color w:val="auto"/>
          <w:spacing w:val="0"/>
          <w:sz w:val="32"/>
          <w:szCs w:val="32"/>
          <w:highlight w:val="none"/>
          <w:shd w:val="clear" w:fill="FFFFFF"/>
          <w:lang w:val="en-US" w:eastAsia="zh-CN"/>
        </w:rPr>
        <w:t>0</w:t>
      </w:r>
      <w:r>
        <w:rPr>
          <w:rFonts w:hint="eastAsia" w:ascii="仿宋" w:hAnsi="仿宋" w:eastAsia="仿宋" w:cs="仿宋"/>
          <w:i w:val="0"/>
          <w:iCs w:val="0"/>
          <w:caps w:val="0"/>
          <w:color w:val="auto"/>
          <w:spacing w:val="0"/>
          <w:sz w:val="32"/>
          <w:szCs w:val="32"/>
          <w:highlight w:val="none"/>
          <w:shd w:val="clear" w:fill="FFFFFF"/>
        </w:rPr>
        <w:t>万元，决算数大于年初预算数的主要原因是：2020年度发放2019年绩效考核优秀及三等功人员奖金，此项年初未列入预算，财政另行据实下拨。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7、社会保障和就业支出（类）行政事业单位养老支出（款）行政单位离退休（项）。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年初预算为0.75万元，支出决算为48.11万元，决算数大于年初预算数的主要原因是：一部分预算列入一般公共服务人力资源事务行政运行科目。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8、社会保障和就业支出（类）行政事业单位养老支出（款）机关事业单位基本养老保险缴费支出（项）。</w:t>
      </w:r>
    </w:p>
    <w:p>
      <w:pPr>
        <w:pStyle w:val="2"/>
        <w:widowControl/>
        <w:shd w:val="clear" w:color="auto" w:fill="FFFFFF"/>
        <w:spacing w:beforeAutospacing="0" w:afterAutospacing="0" w:line="600" w:lineRule="exact"/>
        <w:ind w:firstLine="640" w:firstLineChars="200"/>
        <w:rPr>
          <w:rFonts w:hint="eastAsia" w:ascii="仿宋" w:hAnsi="仿宋" w:eastAsia="仿宋" w:cs="仿宋"/>
          <w:color w:val="auto"/>
          <w:sz w:val="32"/>
          <w:szCs w:val="32"/>
          <w:highlight w:val="none"/>
          <w:shd w:val="clear" w:color="auto" w:fill="FFFFFF"/>
        </w:rPr>
      </w:pPr>
      <w:r>
        <w:rPr>
          <w:rFonts w:hint="eastAsia" w:ascii="仿宋" w:hAnsi="仿宋" w:eastAsia="仿宋" w:cs="仿宋"/>
          <w:i w:val="0"/>
          <w:iCs w:val="0"/>
          <w:caps w:val="0"/>
          <w:color w:val="auto"/>
          <w:spacing w:val="0"/>
          <w:sz w:val="32"/>
          <w:szCs w:val="32"/>
          <w:highlight w:val="none"/>
          <w:shd w:val="clear" w:fill="FFFFFF"/>
        </w:rPr>
        <w:t>年初预算为0万元，支出决算为16.68万元，决算数大于年初预算数的主要原因是：</w:t>
      </w:r>
      <w:r>
        <w:rPr>
          <w:rFonts w:hint="eastAsia" w:ascii="仿宋" w:hAnsi="仿宋" w:eastAsia="仿宋" w:cs="仿宋"/>
          <w:color w:val="auto"/>
          <w:sz w:val="32"/>
          <w:szCs w:val="32"/>
          <w:highlight w:val="none"/>
          <w:shd w:val="clear" w:color="auto" w:fill="FFFFFF"/>
        </w:rPr>
        <w:t>年初养老保险缴费支出预算在行政运行科目中。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9、社会保障和就业支出（类）残疾人事业（款）其他残疾人事业支出（项）。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年初预算为0万元，支出决算为1.43万元，决算数大于年初预算数的主要原因是：财政追加2020年度残疾人就业保障金。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10、城乡社区支出（类）其他城乡社区支出（款）其他城乡社区支出（项）。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年初预算为0万元，支出决算为6万元，决算数大于年初预算数的主要原因是：追加开福区民生实事先进集体奖励金、开福区优化营商先进单位奖励金。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11、住房保障支出（类）住房改革支出（款）住房公积金（项）。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年初预算为0万元，支出决算为26.7</w:t>
      </w:r>
      <w:r>
        <w:rPr>
          <w:rFonts w:hint="eastAsia" w:ascii="仿宋" w:hAnsi="仿宋" w:eastAsia="仿宋" w:cs="仿宋"/>
          <w:i w:val="0"/>
          <w:iCs w:val="0"/>
          <w:caps w:val="0"/>
          <w:color w:val="auto"/>
          <w:spacing w:val="0"/>
          <w:sz w:val="32"/>
          <w:szCs w:val="32"/>
          <w:highlight w:val="none"/>
          <w:shd w:val="clear" w:fill="FFFFFF"/>
          <w:lang w:val="en-US" w:eastAsia="zh-CN"/>
        </w:rPr>
        <w:t>0</w:t>
      </w:r>
      <w:r>
        <w:rPr>
          <w:rFonts w:hint="eastAsia" w:ascii="仿宋" w:hAnsi="仿宋" w:eastAsia="仿宋" w:cs="仿宋"/>
          <w:i w:val="0"/>
          <w:iCs w:val="0"/>
          <w:caps w:val="0"/>
          <w:color w:val="auto"/>
          <w:spacing w:val="0"/>
          <w:sz w:val="32"/>
          <w:szCs w:val="32"/>
          <w:highlight w:val="none"/>
          <w:shd w:val="clear" w:fill="FFFFFF"/>
        </w:rPr>
        <w:t>万元，决算数大于年初预算数的主要原因是：预算列入了社会保障和就业支出人力资源和社会保障管理事务行政运行科目。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财政拨款基本支出588.36万元，其中：人员经费505.62万元，占基本支出的85.94%，主要包括在职及临聘人员基本工资、津贴补贴、奖金、机关事业单位基本养老保险缴费、职工基本医疗保险缴费、公务员医疗补助缴费、其他社会保障缴费、住房公积金、退休人员的退休费、生活补助及其他工资福利支出等；公用经费82.74万元，占基本支出的14.06%，主要包括办公费、邮电费、维修费、会议费、培训费、工会经费、其他交通费用及工作用餐等其他商品和服务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“三公”经费财政拨款支出预算为0万元，支出决算为0万元，完成预算的100%，其中：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因公出国（境）费支出预算为0万元，支出决算为0万元，完成预算的100%，决算数等于年初预算数的主要原因是贯彻上级节俭节约精神。与上年相比减少4.88万元</w:t>
      </w:r>
      <w:r>
        <w:rPr>
          <w:rFonts w:hint="eastAsia" w:ascii="仿宋" w:hAnsi="仿宋" w:eastAsia="仿宋" w:cs="仿宋"/>
          <w:i w:val="0"/>
          <w:iCs w:val="0"/>
          <w:caps w:val="0"/>
          <w:color w:val="auto"/>
          <w:spacing w:val="0"/>
          <w:sz w:val="32"/>
          <w:szCs w:val="32"/>
          <w:highlight w:val="none"/>
          <w:shd w:val="clear" w:fill="FFFFFF"/>
          <w:lang w:eastAsia="zh-CN"/>
        </w:rPr>
        <w:t>，</w:t>
      </w:r>
      <w:r>
        <w:rPr>
          <w:rFonts w:hint="eastAsia" w:ascii="仿宋" w:hAnsi="仿宋" w:eastAsia="仿宋" w:cs="仿宋"/>
          <w:i w:val="0"/>
          <w:iCs w:val="0"/>
          <w:caps w:val="0"/>
          <w:color w:val="auto"/>
          <w:spacing w:val="0"/>
          <w:sz w:val="32"/>
          <w:szCs w:val="32"/>
          <w:highlight w:val="none"/>
          <w:shd w:val="clear" w:fill="FFFFFF"/>
        </w:rPr>
        <w:t>减少的主要原因是2020年度无出国（境）任务安排。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公务接待费支出预算0万元，支出决算为0万元，完成预算的100%，</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i w:val="0"/>
          <w:iCs w:val="0"/>
          <w:caps w:val="0"/>
          <w:color w:val="auto"/>
          <w:spacing w:val="0"/>
          <w:sz w:val="32"/>
          <w:szCs w:val="32"/>
          <w:highlight w:val="none"/>
          <w:lang w:val="en-US" w:eastAsia="zh-CN"/>
        </w:rPr>
        <w:t>主要原因是</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shd w:val="clear" w:fill="FFFFFF"/>
        </w:rPr>
        <w:t>，主要原因是严格控制公务接待费，节省开支，2020年实际未发生公务接待费支出。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公务用车购置费及运行维护费支出预算为0万元，支出决算为0万元，</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lang w:val="en-US" w:eastAsia="zh-CN"/>
        </w:rPr>
        <w:t>主要原因是厉行节约，减少开支</w:t>
      </w:r>
      <w:r>
        <w:rPr>
          <w:rFonts w:hint="eastAsia" w:ascii="仿宋" w:hAnsi="仿宋" w:eastAsia="仿宋" w:cs="仿宋"/>
          <w:i w:val="0"/>
          <w:iCs w:val="0"/>
          <w:caps w:val="0"/>
          <w:color w:val="auto"/>
          <w:spacing w:val="0"/>
          <w:sz w:val="32"/>
          <w:szCs w:val="32"/>
          <w:highlight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2020年度“三公”经费财政拨款支出决算中，公务接待费支出决算0万元，占0 %,因公出国（境）费支出决算0万元，占0 %,公务用车购置费及运行维护费支出决算0万元，占0%。其中：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2、公务接待费支出决算为0万元，全年共接待来访团组0个、来宾0人次。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3、公务用车购置费及运行维护费支出决算为0万元，其中：公务用车购置费0万元，更新公务用车0辆。公务用车运行维护费0万元，截至2020年12月31日，本单位开支财政拨款的公务用车保有量为0辆。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本部门严格按照国家和省、市、区的要求，认真履职，深入贯彻各级党委、政府的决策部署，扎实有效推进各项工作开展，较好的执行了2020年度预算，2020年度本单位支出789.36万元，较好地实现了整体支出绩效目标管理，涉及一般公共预算财政拨款支出789.36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本部门2020年度机关运行经费支出82.74万元，比年初预算数增加43.53万元，增长111</w:t>
      </w:r>
      <w:r>
        <w:rPr>
          <w:rFonts w:hint="eastAsia" w:ascii="仿宋" w:hAnsi="仿宋" w:eastAsia="仿宋" w:cs="仿宋"/>
          <w:i w:val="0"/>
          <w:iCs w:val="0"/>
          <w:caps w:val="0"/>
          <w:color w:val="auto"/>
          <w:spacing w:val="0"/>
          <w:sz w:val="32"/>
          <w:szCs w:val="32"/>
          <w:highlight w:val="none"/>
          <w:shd w:val="clear" w:fill="FFFFFF"/>
          <w:lang w:val="en-US" w:eastAsia="zh-CN"/>
        </w:rPr>
        <w:t>.02</w:t>
      </w:r>
      <w:r>
        <w:rPr>
          <w:rFonts w:hint="eastAsia" w:ascii="仿宋" w:hAnsi="仿宋" w:eastAsia="仿宋" w:cs="仿宋"/>
          <w:i w:val="0"/>
          <w:iCs w:val="0"/>
          <w:caps w:val="0"/>
          <w:color w:val="auto"/>
          <w:spacing w:val="0"/>
          <w:sz w:val="32"/>
          <w:szCs w:val="32"/>
          <w:highlight w:val="none"/>
          <w:shd w:val="clear" w:fill="FFFFFF"/>
        </w:rPr>
        <w:t>%。主要原因是：人员及工作经费支出增加。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2020年本部门开支会议费0万元，开支培训费0万元，无举办节庆、晚会、论坛、赛事活动开支。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本部门2020年度政府采购支出总额0.5万元，其中：政府采购货物支出0.5万元、政府采购工程支出0万元、政府采购服务支出0万元。授予中小企业合同金额0.5万元，占政府采购支出总额的100%，其中：授予小微企业合同金额0.5万元，占政府采购支出总额的100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2640" w:firstLineChars="600"/>
        <w:jc w:val="left"/>
        <w:textAlignment w:val="auto"/>
        <w:rPr>
          <w:rFonts w:hint="eastAsia" w:ascii="黑体" w:hAnsi="黑体" w:eastAsia="黑体" w:cs="黑体"/>
          <w:bCs/>
          <w:color w:val="auto"/>
          <w:kern w:val="0"/>
          <w:sz w:val="44"/>
          <w:szCs w:val="44"/>
          <w:highlight w:val="none"/>
          <w:lang w:val="en-US" w:eastAsia="zh-CN" w:bidi="ar-SA"/>
        </w:rPr>
      </w:pPr>
      <w:r>
        <w:rPr>
          <w:rFonts w:hint="eastAsia" w:ascii="黑体" w:hAnsi="黑体" w:eastAsia="黑体" w:cs="黑体"/>
          <w:bCs/>
          <w:color w:val="auto"/>
          <w:kern w:val="0"/>
          <w:sz w:val="44"/>
          <w:szCs w:val="44"/>
          <w:highlight w:val="none"/>
          <w:lang w:val="en-US" w:eastAsia="zh-CN" w:bidi="ar-SA"/>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二、项目支出：指在基本支出之外为完成特定行政任务和事业发展目标所发生的支出。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i w:val="0"/>
          <w:iCs w:val="0"/>
          <w:caps w:val="0"/>
          <w:color w:val="auto"/>
          <w:spacing w:val="0"/>
          <w:sz w:val="32"/>
          <w:szCs w:val="32"/>
          <w:highlight w:val="none"/>
          <w:shd w:val="clear" w:fill="FFFFFF"/>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numPr>
          <w:ilvl w:val="0"/>
          <w:numId w:val="1"/>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highlight w:val="none"/>
          <w:lang w:val="en-US" w:eastAsia="zh-CN"/>
        </w:rPr>
      </w:pPr>
      <w:r>
        <w:rPr>
          <w:rFonts w:hint="eastAsia" w:ascii="黑体" w:hAnsi="黑体" w:eastAsia="黑体" w:cs="黑体"/>
          <w:bCs/>
          <w:color w:val="auto"/>
          <w:kern w:val="0"/>
          <w:sz w:val="44"/>
          <w:szCs w:val="44"/>
          <w:highlight w:val="none"/>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ZWU0NDJhYmE2YWU0MTAwNzQwOTdmMDk2OWU3YjAifQ=="/>
  </w:docVars>
  <w:rsids>
    <w:rsidRoot w:val="00000000"/>
    <w:rsid w:val="0ED72FAB"/>
    <w:rsid w:val="0F592105"/>
    <w:rsid w:val="1A076A41"/>
    <w:rsid w:val="21595B7F"/>
    <w:rsid w:val="3231600F"/>
    <w:rsid w:val="3B506ED5"/>
    <w:rsid w:val="54BE34C2"/>
    <w:rsid w:val="5EA77F8D"/>
    <w:rsid w:val="60E43264"/>
    <w:rsid w:val="6BA702EF"/>
    <w:rsid w:val="70DE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5293</Words>
  <Characters>5695</Characters>
  <Lines>0</Lines>
  <Paragraphs>0</Paragraphs>
  <TotalTime>0</TotalTime>
  <ScaleCrop>false</ScaleCrop>
  <LinksUpToDate>false</LinksUpToDate>
  <CharactersWithSpaces>5706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Administrator</cp:lastModifiedBy>
  <dcterms:modified xsi:type="dcterms:W3CDTF">2022-08-18T23:59:25Z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