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default" w:ascii="仿宋" w:hAnsi="仿宋" w:eastAsia="仿宋" w:cs="仿宋"/>
          <w:sz w:val="48"/>
          <w:szCs w:val="48"/>
        </w:rPr>
      </w:pPr>
      <w:r>
        <w:rPr>
          <w:rFonts w:ascii="仿宋" w:hAnsi="仿宋" w:eastAsia="仿宋" w:cs="仿宋"/>
          <w:sz w:val="48"/>
          <w:szCs w:val="48"/>
        </w:rPr>
        <w:t>2021年长沙市</w:t>
      </w:r>
      <w:r>
        <w:rPr>
          <w:rFonts w:hint="default" w:ascii="仿宋" w:hAnsi="仿宋" w:eastAsia="仿宋" w:cs="仿宋"/>
          <w:sz w:val="48"/>
          <w:szCs w:val="48"/>
        </w:rPr>
        <w:t>开福区就业服务中心</w:t>
      </w:r>
      <w:r>
        <w:rPr>
          <w:rFonts w:ascii="仿宋" w:hAnsi="仿宋" w:eastAsia="仿宋" w:cs="仿宋"/>
          <w:sz w:val="48"/>
          <w:szCs w:val="48"/>
        </w:rPr>
        <w:t>部门</w:t>
      </w:r>
      <w:r>
        <w:rPr>
          <w:rFonts w:hint="default" w:ascii="仿宋" w:hAnsi="仿宋" w:eastAsia="仿宋" w:cs="仿宋"/>
          <w:sz w:val="48"/>
          <w:szCs w:val="48"/>
        </w:rPr>
        <w:t>预算</w:t>
      </w:r>
    </w:p>
    <w:p>
      <w:pPr>
        <w:keepNext w:val="0"/>
        <w:keepLines w:val="0"/>
        <w:pageBreakBefore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jc w:val="both"/>
        <w:textAlignment w:val="auto"/>
        <w:rPr>
          <w:rFonts w:ascii="宋体" w:hAnsi="宋体" w:eastAsia="宋体" w:cs="宋体"/>
          <w:color w:val="666666"/>
          <w:sz w:val="16"/>
          <w:szCs w:val="16"/>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仿宋"/>
          <w:bCs/>
          <w:sz w:val="32"/>
          <w:szCs w:val="32"/>
        </w:rPr>
      </w:pPr>
      <w:r>
        <w:rPr>
          <w:rFonts w:hint="eastAsia" w:ascii="黑体" w:hAnsi="黑体" w:eastAsia="黑体" w:cs="仿宋"/>
          <w:bCs/>
          <w:sz w:val="32"/>
          <w:szCs w:val="32"/>
        </w:rPr>
        <w:t>一、部门基本概况</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
          <w:bCs/>
          <w:sz w:val="32"/>
          <w:szCs w:val="32"/>
        </w:rPr>
      </w:pPr>
      <w:r>
        <w:rPr>
          <w:rFonts w:hint="eastAsia" w:ascii="仿宋" w:hAnsi="仿宋" w:eastAsia="仿宋" w:cs="仿宋"/>
          <w:b/>
          <w:bCs/>
          <w:sz w:val="32"/>
          <w:szCs w:val="32"/>
        </w:rPr>
        <w:t>（一）职能职责：</w:t>
      </w:r>
    </w:p>
    <w:p>
      <w:pPr>
        <w:pStyle w:val="5"/>
        <w:keepNext w:val="0"/>
        <w:keepLines w:val="0"/>
        <w:pageBreakBefore w:val="0"/>
        <w:widowControl/>
        <w:kinsoku/>
        <w:wordWrap/>
        <w:overflowPunct/>
        <w:topLinePunct w:val="0"/>
        <w:autoSpaceDE/>
        <w:autoSpaceDN/>
        <w:bidi w:val="0"/>
        <w:adjustRightInd/>
        <w:snapToGrid/>
        <w:spacing w:before="12" w:beforeAutospacing="0" w:after="12"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1.贯彻执行国家、省和市有关职业培训的法规、政策；负责全区职业培训有关规定的起草和职业培训规划的制定；依法开展职业培训，负责相关培训学校开展职业培训活动的指导和督促检查以及职业培训补贴申请材料的核实、上报工作；</w:t>
      </w:r>
    </w:p>
    <w:p>
      <w:pPr>
        <w:pStyle w:val="5"/>
        <w:keepNext w:val="0"/>
        <w:keepLines w:val="0"/>
        <w:pageBreakBefore w:val="0"/>
        <w:widowControl/>
        <w:kinsoku/>
        <w:wordWrap/>
        <w:overflowPunct/>
        <w:topLinePunct w:val="0"/>
        <w:autoSpaceDE/>
        <w:autoSpaceDN/>
        <w:bidi w:val="0"/>
        <w:adjustRightInd/>
        <w:snapToGrid/>
        <w:spacing w:before="12" w:beforeAutospacing="0" w:after="12"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2.指导实施劳动者平等就业、流动就业政策；</w:t>
      </w:r>
    </w:p>
    <w:p>
      <w:pPr>
        <w:pStyle w:val="5"/>
        <w:keepNext w:val="0"/>
        <w:keepLines w:val="0"/>
        <w:pageBreakBefore w:val="0"/>
        <w:widowControl/>
        <w:kinsoku/>
        <w:wordWrap/>
        <w:overflowPunct/>
        <w:topLinePunct w:val="0"/>
        <w:autoSpaceDE/>
        <w:autoSpaceDN/>
        <w:bidi w:val="0"/>
        <w:adjustRightInd/>
        <w:snapToGrid/>
        <w:spacing w:before="12" w:beforeAutospacing="0" w:after="12"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3.组织实施鼓励全民创业的基本政策、措施，健全公共就业服务体系，指导和规范公共就业服务信息管理；</w:t>
      </w:r>
    </w:p>
    <w:p>
      <w:pPr>
        <w:pStyle w:val="5"/>
        <w:keepNext w:val="0"/>
        <w:keepLines w:val="0"/>
        <w:pageBreakBefore w:val="0"/>
        <w:widowControl/>
        <w:kinsoku/>
        <w:wordWrap/>
        <w:overflowPunct/>
        <w:topLinePunct w:val="0"/>
        <w:autoSpaceDE/>
        <w:autoSpaceDN/>
        <w:bidi w:val="0"/>
        <w:adjustRightInd/>
        <w:snapToGrid/>
        <w:spacing w:before="12" w:beforeAutospacing="0" w:after="12"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4.贯彻执行高校毕业生就业创业政策，负责全区高校毕业生就业见习基地建设；</w:t>
      </w:r>
    </w:p>
    <w:p>
      <w:pPr>
        <w:pStyle w:val="5"/>
        <w:keepNext w:val="0"/>
        <w:keepLines w:val="0"/>
        <w:pageBreakBefore w:val="0"/>
        <w:widowControl/>
        <w:kinsoku/>
        <w:wordWrap/>
        <w:overflowPunct/>
        <w:topLinePunct w:val="0"/>
        <w:autoSpaceDE/>
        <w:autoSpaceDN/>
        <w:bidi w:val="0"/>
        <w:adjustRightInd/>
        <w:snapToGrid/>
        <w:spacing w:before="12" w:beforeAutospacing="0" w:after="12"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5.贯彻执行就业补助资金管理办法；</w:t>
      </w:r>
    </w:p>
    <w:p>
      <w:pPr>
        <w:pStyle w:val="5"/>
        <w:keepNext w:val="0"/>
        <w:keepLines w:val="0"/>
        <w:pageBreakBefore w:val="0"/>
        <w:widowControl/>
        <w:kinsoku/>
        <w:wordWrap/>
        <w:overflowPunct/>
        <w:topLinePunct w:val="0"/>
        <w:autoSpaceDE/>
        <w:autoSpaceDN/>
        <w:bidi w:val="0"/>
        <w:adjustRightInd/>
        <w:snapToGrid/>
        <w:spacing w:before="12" w:beforeAutospacing="0" w:after="12"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6.指导全区人力资源市场建设工作；</w:t>
      </w:r>
    </w:p>
    <w:p>
      <w:pPr>
        <w:pStyle w:val="5"/>
        <w:keepNext w:val="0"/>
        <w:keepLines w:val="0"/>
        <w:pageBreakBefore w:val="0"/>
        <w:widowControl/>
        <w:kinsoku/>
        <w:wordWrap/>
        <w:overflowPunct/>
        <w:topLinePunct w:val="0"/>
        <w:autoSpaceDE/>
        <w:autoSpaceDN/>
        <w:bidi w:val="0"/>
        <w:adjustRightInd/>
        <w:snapToGrid/>
        <w:spacing w:before="12" w:beforeAutospacing="0" w:after="12"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7.指导和监督人力资源中介机构管理工作；</w:t>
      </w:r>
    </w:p>
    <w:p>
      <w:pPr>
        <w:pStyle w:val="5"/>
        <w:keepNext w:val="0"/>
        <w:keepLines w:val="0"/>
        <w:pageBreakBefore w:val="0"/>
        <w:widowControl/>
        <w:kinsoku/>
        <w:wordWrap/>
        <w:overflowPunct/>
        <w:topLinePunct w:val="0"/>
        <w:autoSpaceDE/>
        <w:autoSpaceDN/>
        <w:bidi w:val="0"/>
        <w:adjustRightInd/>
        <w:snapToGrid/>
        <w:spacing w:before="12" w:beforeAutospacing="0" w:after="12"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8.负责对街道、社区（村）人力资源和社会保障服务机构的业务指导；负责基层人力资源和社会保障平台服务制度建设，负责基层人力资源和社会保障平台基础管理信息统计汇总上报工作；</w:t>
      </w:r>
    </w:p>
    <w:p>
      <w:pPr>
        <w:pStyle w:val="5"/>
        <w:keepNext w:val="0"/>
        <w:keepLines w:val="0"/>
        <w:pageBreakBefore w:val="0"/>
        <w:widowControl/>
        <w:kinsoku/>
        <w:wordWrap/>
        <w:overflowPunct/>
        <w:topLinePunct w:val="0"/>
        <w:autoSpaceDE/>
        <w:autoSpaceDN/>
        <w:bidi w:val="0"/>
        <w:adjustRightInd/>
        <w:snapToGrid/>
        <w:spacing w:before="12" w:beforeAutospacing="0" w:after="12"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9.负责全区智力引进、高校毕业生、留学归国人员住房和生活补贴初审工作。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
          <w:bCs/>
          <w:sz w:val="32"/>
          <w:szCs w:val="32"/>
        </w:rPr>
      </w:pPr>
      <w:r>
        <w:rPr>
          <w:rFonts w:hint="eastAsia" w:ascii="仿宋" w:hAnsi="仿宋" w:eastAsia="仿宋" w:cs="仿宋"/>
          <w:b/>
          <w:bCs/>
          <w:sz w:val="32"/>
          <w:szCs w:val="32"/>
        </w:rPr>
        <w:t>（二）机构设置</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内设机构设置：包括职业介绍、职业培训、公益性岗位、灵活就业人员社保补贴、小额担保贷款、流动人员档案管理、办公室、财务室。</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本部门是参公事业单位，属开福区人力资源和社会保障局二级机构。系独立核算财政全额拨款事业单位法人。系独立核算财政全额拨款事业单位法人。在职在编6人，离退休6人，长期临聘人员10人。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仿宋"/>
          <w:bCs/>
          <w:sz w:val="32"/>
          <w:szCs w:val="32"/>
        </w:rPr>
      </w:pPr>
      <w:r>
        <w:rPr>
          <w:rFonts w:hint="eastAsia" w:ascii="黑体" w:hAnsi="黑体" w:eastAsia="黑体" w:cs="仿宋"/>
          <w:bCs/>
          <w:sz w:val="32"/>
          <w:szCs w:val="32"/>
        </w:rPr>
        <w:t>二、部门预算单位构成</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开福区就业服务中心只有本级，没有其他二级预算单位，因此，纳入2021年部门预算编制范围的只有开福区就业服务中心本级。</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仿宋"/>
          <w:bCs/>
          <w:sz w:val="32"/>
          <w:szCs w:val="32"/>
        </w:rPr>
      </w:pPr>
      <w:r>
        <w:rPr>
          <w:rFonts w:hint="eastAsia" w:ascii="黑体" w:hAnsi="黑体" w:eastAsia="黑体" w:cs="仿宋"/>
          <w:bCs/>
          <w:sz w:val="32"/>
          <w:szCs w:val="32"/>
        </w:rPr>
        <w:t>三、部门收支总体情况</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2021年部门本级预算收入包括一般公共预算拨款和政府性基金预算拨款；支出包括基本支出和项目支出。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bCs/>
          <w:sz w:val="32"/>
          <w:szCs w:val="32"/>
        </w:rPr>
        <w:t>（一）收入预算</w:t>
      </w:r>
      <w:r>
        <w:rPr>
          <w:rFonts w:ascii="仿宋" w:hAnsi="仿宋" w:eastAsia="仿宋" w:cs="仿宋"/>
          <w:b/>
          <w:bCs/>
          <w:sz w:val="32"/>
          <w:szCs w:val="32"/>
        </w:rPr>
        <w:t>：</w:t>
      </w:r>
      <w:r>
        <w:rPr>
          <w:rFonts w:hint="eastAsia" w:ascii="仿宋" w:hAnsi="仿宋" w:eastAsia="仿宋" w:cs="仿宋"/>
          <w:bCs/>
          <w:sz w:val="32"/>
          <w:szCs w:val="32"/>
        </w:rPr>
        <w:t>2021年本部门收入预算数1350.23万元，其中，一般公共预算拨款1350.23万元，政府性基金预算拨款0元。收入较去年减少4095.13万元，降低了75.2%，主要是上级缩减了项目工作经费支出预算。</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
          <w:bCs/>
          <w:sz w:val="32"/>
          <w:szCs w:val="32"/>
        </w:rPr>
      </w:pPr>
      <w:r>
        <w:rPr>
          <w:rFonts w:hint="eastAsia" w:ascii="仿宋" w:hAnsi="仿宋" w:eastAsia="仿宋" w:cs="仿宋"/>
          <w:b/>
          <w:bCs/>
          <w:sz w:val="32"/>
          <w:szCs w:val="32"/>
        </w:rPr>
        <w:t>（二）支出预算</w:t>
      </w:r>
      <w:r>
        <w:rPr>
          <w:rFonts w:ascii="仿宋" w:hAnsi="仿宋" w:eastAsia="仿宋" w:cs="仿宋"/>
          <w:b/>
          <w:bCs/>
          <w:sz w:val="32"/>
          <w:szCs w:val="32"/>
        </w:rPr>
        <w:t>：</w:t>
      </w:r>
      <w:r>
        <w:rPr>
          <w:rFonts w:hint="eastAsia" w:ascii="仿宋" w:hAnsi="仿宋" w:eastAsia="仿宋" w:cs="仿宋"/>
          <w:bCs/>
          <w:sz w:val="32"/>
          <w:szCs w:val="32"/>
        </w:rPr>
        <w:t>2021年支出预算数1350.23万元，其中，</w:t>
      </w:r>
      <w:r>
        <w:rPr>
          <w:rFonts w:hint="eastAsia" w:ascii="仿宋" w:hAnsi="仿宋" w:eastAsia="仿宋" w:cs="仿宋"/>
          <w:bCs/>
          <w:color w:val="000000" w:themeColor="text1"/>
          <w:sz w:val="32"/>
          <w:szCs w:val="32"/>
          <w14:textFill>
            <w14:solidFill>
              <w14:schemeClr w14:val="tx1"/>
            </w14:solidFill>
          </w14:textFill>
        </w:rPr>
        <w:t>社会保障和就业支出</w:t>
      </w:r>
      <w:r>
        <w:rPr>
          <w:rFonts w:ascii="仿宋" w:hAnsi="仿宋" w:eastAsia="仿宋" w:cs="仿宋"/>
          <w:bCs/>
          <w:color w:val="000000" w:themeColor="text1"/>
          <w:sz w:val="32"/>
          <w:szCs w:val="32"/>
          <w14:textFill>
            <w14:solidFill>
              <w14:schemeClr w14:val="tx1"/>
            </w14:solidFill>
          </w14:textFill>
        </w:rPr>
        <w:t>1337.16</w:t>
      </w:r>
      <w:r>
        <w:rPr>
          <w:rFonts w:hint="eastAsia" w:ascii="仿宋" w:hAnsi="仿宋" w:eastAsia="仿宋" w:cs="仿宋"/>
          <w:bCs/>
          <w:color w:val="000000" w:themeColor="text1"/>
          <w:sz w:val="32"/>
          <w:szCs w:val="32"/>
          <w14:textFill>
            <w14:solidFill>
              <w14:schemeClr w14:val="tx1"/>
            </w14:solidFill>
          </w14:textFill>
        </w:rPr>
        <w:t>万元，住房保障支出13.07万元</w:t>
      </w:r>
      <w:r>
        <w:rPr>
          <w:rFonts w:hint="eastAsia" w:ascii="仿宋" w:hAnsi="仿宋" w:eastAsia="仿宋" w:cs="仿宋"/>
          <w:bCs/>
          <w:sz w:val="32"/>
          <w:szCs w:val="32"/>
        </w:rPr>
        <w:t>。本年支出预算数比上年减少4095.13万元，降低了75.2%，主要是上级缩减了项目工作经费支出预算。</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仿宋"/>
          <w:bCs/>
          <w:sz w:val="32"/>
          <w:szCs w:val="32"/>
        </w:rPr>
      </w:pPr>
      <w:r>
        <w:rPr>
          <w:rFonts w:hint="eastAsia" w:ascii="黑体" w:hAnsi="黑体" w:eastAsia="黑体" w:cs="仿宋"/>
          <w:bCs/>
          <w:sz w:val="32"/>
          <w:szCs w:val="32"/>
        </w:rPr>
        <w:t>四、一般公共预算拨款支出预算</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sz w:val="32"/>
          <w:szCs w:val="32"/>
        </w:rPr>
        <w:t>2021年一般公共预算拨款收入1350.23万元，其中，</w:t>
      </w:r>
      <w:r>
        <w:rPr>
          <w:rFonts w:hint="eastAsia" w:ascii="仿宋" w:hAnsi="仿宋" w:eastAsia="仿宋" w:cs="仿宋"/>
          <w:bCs/>
          <w:color w:val="000000" w:themeColor="text1"/>
          <w:sz w:val="32"/>
          <w:szCs w:val="32"/>
          <w14:textFill>
            <w14:solidFill>
              <w14:schemeClr w14:val="tx1"/>
            </w14:solidFill>
          </w14:textFill>
        </w:rPr>
        <w:t>社会保障和就业支出</w:t>
      </w:r>
      <w:r>
        <w:rPr>
          <w:rFonts w:ascii="仿宋" w:hAnsi="仿宋" w:eastAsia="仿宋" w:cs="仿宋"/>
          <w:bCs/>
          <w:color w:val="000000" w:themeColor="text1"/>
          <w:sz w:val="32"/>
          <w:szCs w:val="32"/>
          <w14:textFill>
            <w14:solidFill>
              <w14:schemeClr w14:val="tx1"/>
            </w14:solidFill>
          </w14:textFill>
        </w:rPr>
        <w:t>1337.16</w:t>
      </w:r>
      <w:r>
        <w:rPr>
          <w:rFonts w:hint="eastAsia" w:ascii="仿宋" w:hAnsi="仿宋" w:eastAsia="仿宋" w:cs="仿宋"/>
          <w:bCs/>
          <w:color w:val="000000" w:themeColor="text1"/>
          <w:sz w:val="32"/>
          <w:szCs w:val="32"/>
          <w14:textFill>
            <w14:solidFill>
              <w14:schemeClr w14:val="tx1"/>
            </w14:solidFill>
          </w14:textFill>
        </w:rPr>
        <w:t>万元，占99.03%</w:t>
      </w:r>
      <w:r>
        <w:rPr>
          <w:rFonts w:hint="eastAsia" w:ascii="仿宋" w:hAnsi="仿宋" w:eastAsia="仿宋" w:cs="仿宋"/>
          <w:bCs/>
          <w:color w:val="000000" w:themeColor="text1"/>
          <w:sz w:val="32"/>
          <w:szCs w:val="32"/>
          <w:lang w:val="en-US"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住房保障支出13.07万元，占0.97</w:t>
      </w:r>
      <w:r>
        <w:rPr>
          <w:rFonts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具体安排情况如下：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
          <w:bCs/>
          <w:sz w:val="32"/>
          <w:szCs w:val="32"/>
        </w:rPr>
      </w:pPr>
      <w:r>
        <w:rPr>
          <w:rFonts w:hint="eastAsia" w:ascii="仿宋" w:hAnsi="仿宋" w:eastAsia="仿宋" w:cs="仿宋"/>
          <w:b/>
          <w:bCs/>
          <w:sz w:val="32"/>
          <w:szCs w:val="32"/>
        </w:rPr>
        <w:t>（一）基本支出</w:t>
      </w:r>
      <w:r>
        <w:rPr>
          <w:rFonts w:ascii="仿宋" w:hAnsi="仿宋" w:eastAsia="仿宋" w:cs="仿宋"/>
          <w:b/>
          <w:bCs/>
          <w:sz w:val="32"/>
          <w:szCs w:val="32"/>
        </w:rPr>
        <w:t>：</w:t>
      </w:r>
      <w:r>
        <w:rPr>
          <w:rFonts w:hint="eastAsia" w:ascii="仿宋" w:hAnsi="仿宋" w:eastAsia="仿宋" w:cs="仿宋"/>
          <w:bCs/>
          <w:sz w:val="32"/>
          <w:szCs w:val="32"/>
        </w:rPr>
        <w:t>2021年预算数为301.33万元，是指为保障单位机构正常运转、完成日常工作任务而发生的各项支出，包括用于基本工资、津贴补贴等人员经费以及办公费、印刷费、水电费、办公设备购置等日常公用经费。</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bCs/>
          <w:sz w:val="32"/>
          <w:szCs w:val="32"/>
        </w:rPr>
        <w:t>（二）项目支出</w:t>
      </w:r>
      <w:r>
        <w:rPr>
          <w:rFonts w:ascii="仿宋" w:hAnsi="仿宋" w:eastAsia="仿宋" w:cs="仿宋"/>
          <w:b/>
          <w:bCs/>
          <w:sz w:val="32"/>
          <w:szCs w:val="32"/>
        </w:rPr>
        <w:t>：</w:t>
      </w:r>
      <w:r>
        <w:rPr>
          <w:rFonts w:hint="eastAsia" w:ascii="仿宋" w:hAnsi="仿宋" w:eastAsia="仿宋" w:cs="仿宋"/>
          <w:bCs/>
          <w:sz w:val="32"/>
          <w:szCs w:val="32"/>
        </w:rPr>
        <w:t>2021年预算数为1048.90万元，是指单位为完成特定行政工作任务或事业发展目标而发生的支出，其中：事务性业务专项经费183万元，主要人力资源市场、就业专项工作经费；公共专项经费865.9万元，主要用于开福区人社平台工作人员工资、保险及住房公积金的支出、创业担保贷款贴息工作、村干部基本养老保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五、政府性基金预算支出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b/>
          <w:bCs/>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本部门无政府性基金安排的支出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仿宋"/>
          <w:bCs/>
          <w:sz w:val="32"/>
          <w:szCs w:val="32"/>
        </w:rPr>
      </w:pPr>
      <w:r>
        <w:rPr>
          <w:rFonts w:hint="eastAsia" w:ascii="黑体" w:hAnsi="黑体" w:eastAsia="黑体" w:cs="仿宋"/>
          <w:bCs/>
          <w:sz w:val="32"/>
          <w:szCs w:val="32"/>
        </w:rPr>
        <w:t>六、其他重要事项的情况说明</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 w:hAnsi="仿宋" w:eastAsia="仿宋" w:cs="仿宋"/>
          <w:bCs/>
          <w:sz w:val="32"/>
          <w:szCs w:val="32"/>
          <w:highlight w:val="none"/>
          <w:u w:val="none"/>
        </w:rPr>
      </w:pPr>
      <w:r>
        <w:rPr>
          <w:rFonts w:hint="eastAsia" w:ascii="仿宋" w:hAnsi="仿宋" w:eastAsia="仿宋" w:cs="仿宋"/>
          <w:b/>
          <w:sz w:val="32"/>
          <w:szCs w:val="32"/>
          <w:highlight w:val="none"/>
          <w:u w:val="none"/>
        </w:rPr>
        <w:t>（一）机关运行经费：</w:t>
      </w:r>
      <w:r>
        <w:rPr>
          <w:rFonts w:hint="eastAsia" w:ascii="仿宋" w:hAnsi="仿宋" w:eastAsia="仿宋" w:cs="仿宋"/>
          <w:bCs/>
          <w:sz w:val="32"/>
          <w:szCs w:val="32"/>
          <w:highlight w:val="none"/>
          <w:u w:val="none"/>
        </w:rPr>
        <w:t>2021年机关运行经费财政拨款预算17.63万元，比2020年预算减少0.28万元，</w:t>
      </w:r>
      <w:r>
        <w:rPr>
          <w:rFonts w:hint="eastAsia" w:ascii="仿宋" w:hAnsi="仿宋" w:eastAsia="仿宋" w:cs="仿宋"/>
          <w:bCs/>
          <w:color w:val="000000" w:themeColor="text1"/>
          <w:sz w:val="32"/>
          <w:szCs w:val="32"/>
          <w:highlight w:val="none"/>
          <w:u w:val="none"/>
          <w14:textFill>
            <w14:solidFill>
              <w14:schemeClr w14:val="tx1"/>
            </w14:solidFill>
          </w14:textFill>
        </w:rPr>
        <w:t>降低1.5</w:t>
      </w:r>
      <w:r>
        <w:rPr>
          <w:rFonts w:ascii="仿宋" w:hAnsi="仿宋" w:eastAsia="仿宋" w:cs="仿宋"/>
          <w:bCs/>
          <w:color w:val="000000" w:themeColor="text1"/>
          <w:sz w:val="32"/>
          <w:szCs w:val="32"/>
          <w:highlight w:val="none"/>
          <w:u w:val="none"/>
          <w14:textFill>
            <w14:solidFill>
              <w14:schemeClr w14:val="tx1"/>
            </w14:solidFill>
          </w14:textFill>
        </w:rPr>
        <w:t>6</w:t>
      </w:r>
      <w:r>
        <w:rPr>
          <w:rFonts w:hint="eastAsia" w:ascii="仿宋" w:hAnsi="仿宋" w:eastAsia="仿宋" w:cs="仿宋"/>
          <w:bCs/>
          <w:color w:val="000000" w:themeColor="text1"/>
          <w:sz w:val="32"/>
          <w:szCs w:val="32"/>
          <w:highlight w:val="none"/>
          <w:u w:val="none"/>
          <w14:textFill>
            <w14:solidFill>
              <w14:schemeClr w14:val="tx1"/>
            </w14:solidFill>
          </w14:textFill>
        </w:rPr>
        <w:t>%</w:t>
      </w:r>
      <w:r>
        <w:rPr>
          <w:rFonts w:ascii="仿宋" w:hAnsi="仿宋" w:eastAsia="仿宋" w:cs="仿宋"/>
          <w:bCs/>
          <w:color w:val="000000" w:themeColor="text1"/>
          <w:sz w:val="32"/>
          <w:szCs w:val="32"/>
          <w:highlight w:val="none"/>
          <w:u w:val="none"/>
          <w14:textFill>
            <w14:solidFill>
              <w14:schemeClr w14:val="tx1"/>
            </w14:solidFill>
          </w14:textFill>
        </w:rPr>
        <w:t>,</w:t>
      </w:r>
      <w:r>
        <w:rPr>
          <w:rFonts w:hint="eastAsia" w:ascii="仿宋" w:hAnsi="仿宋" w:eastAsia="仿宋" w:cs="仿宋"/>
          <w:bCs/>
          <w:sz w:val="32"/>
          <w:szCs w:val="32"/>
          <w:highlight w:val="none"/>
          <w:u w:val="none"/>
        </w:rPr>
        <w:t>主要原因是</w:t>
      </w:r>
      <w:r>
        <w:rPr>
          <w:rFonts w:hint="eastAsia" w:ascii="仿宋" w:hAnsi="仿宋" w:eastAsia="仿宋" w:cs="仿宋"/>
          <w:bCs/>
          <w:sz w:val="32"/>
          <w:szCs w:val="32"/>
          <w:highlight w:val="none"/>
          <w:u w:val="none"/>
          <w:lang w:val="en-US" w:eastAsia="zh-CN"/>
        </w:rPr>
        <w:t>2021年1月起，全区事业单位人员执行事业单位工资，在职人员工资略有降低，导致单位工会经费较上年减少0.28万元</w:t>
      </w:r>
      <w:r>
        <w:rPr>
          <w:rFonts w:hint="eastAsia" w:ascii="仿宋" w:hAnsi="仿宋" w:eastAsia="仿宋" w:cs="仿宋"/>
          <w:bCs/>
          <w:sz w:val="32"/>
          <w:szCs w:val="32"/>
          <w:highlight w:val="none"/>
          <w:u w:val="none"/>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Cs/>
          <w:sz w:val="32"/>
          <w:szCs w:val="32"/>
          <w:highlight w:val="none"/>
          <w:u w:val="none"/>
        </w:rPr>
      </w:pPr>
      <w:r>
        <w:rPr>
          <w:rFonts w:hint="eastAsia" w:ascii="仿宋" w:hAnsi="仿宋" w:eastAsia="仿宋" w:cs="仿宋"/>
          <w:b/>
          <w:sz w:val="32"/>
          <w:szCs w:val="32"/>
          <w:highlight w:val="none"/>
          <w:u w:val="none"/>
        </w:rPr>
        <w:t>（二）“三公”经费预算：</w:t>
      </w:r>
      <w:r>
        <w:rPr>
          <w:rFonts w:hint="eastAsia" w:ascii="仿宋" w:hAnsi="仿宋" w:eastAsia="仿宋" w:cs="仿宋"/>
          <w:bCs/>
          <w:sz w:val="32"/>
          <w:szCs w:val="32"/>
          <w:highlight w:val="none"/>
          <w:u w:val="none"/>
        </w:rPr>
        <w:t>2021年“三公”经费预算数为0万元，其中，公务接待费0万元，公务用车购置及运行费</w:t>
      </w:r>
      <w:r>
        <w:rPr>
          <w:rFonts w:ascii="Calibri" w:hAnsi="Calibri" w:eastAsia="仿宋" w:cs="Calibri"/>
          <w:bCs/>
          <w:sz w:val="32"/>
          <w:szCs w:val="32"/>
          <w:highlight w:val="none"/>
          <w:u w:val="none"/>
        </w:rPr>
        <w:t> </w:t>
      </w:r>
      <w:r>
        <w:rPr>
          <w:rFonts w:hint="eastAsia" w:ascii="仿宋" w:hAnsi="仿宋" w:eastAsia="仿宋" w:cs="仿宋"/>
          <w:bCs/>
          <w:sz w:val="32"/>
          <w:szCs w:val="32"/>
          <w:highlight w:val="none"/>
          <w:u w:val="none"/>
        </w:rPr>
        <w:t>0万元（其中，公务用车购置费</w:t>
      </w:r>
      <w:r>
        <w:rPr>
          <w:rFonts w:ascii="Calibri" w:hAnsi="Calibri" w:eastAsia="仿宋" w:cs="Calibri"/>
          <w:bCs/>
          <w:sz w:val="32"/>
          <w:szCs w:val="32"/>
          <w:highlight w:val="none"/>
          <w:u w:val="none"/>
        </w:rPr>
        <w:t> </w:t>
      </w:r>
      <w:r>
        <w:rPr>
          <w:rFonts w:hint="eastAsia" w:ascii="仿宋" w:hAnsi="仿宋" w:eastAsia="仿宋" w:cs="仿宋"/>
          <w:bCs/>
          <w:sz w:val="32"/>
          <w:szCs w:val="32"/>
          <w:highlight w:val="none"/>
          <w:u w:val="none"/>
        </w:rPr>
        <w:t>0万元，公务用车运行费0万元），因公出国（境）费</w:t>
      </w:r>
      <w:r>
        <w:rPr>
          <w:rFonts w:ascii="Calibri" w:hAnsi="Calibri" w:eastAsia="仿宋" w:cs="Calibri"/>
          <w:bCs/>
          <w:sz w:val="32"/>
          <w:szCs w:val="32"/>
          <w:highlight w:val="none"/>
          <w:u w:val="none"/>
        </w:rPr>
        <w:t> </w:t>
      </w:r>
      <w:r>
        <w:rPr>
          <w:rFonts w:hint="eastAsia" w:ascii="仿宋" w:hAnsi="仿宋" w:eastAsia="仿宋" w:cs="仿宋"/>
          <w:bCs/>
          <w:sz w:val="32"/>
          <w:szCs w:val="32"/>
          <w:highlight w:val="none"/>
          <w:u w:val="none"/>
        </w:rPr>
        <w:t>0万元。2021年“三公”经费预算较2020年减少0.2万元，降低100%。主要原因是积极落实厉行节约的要求，从严控制公务接待行为。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kern w:val="0"/>
          <w:sz w:val="32"/>
          <w:szCs w:val="32"/>
          <w:highlight w:val="none"/>
          <w:u w:val="none"/>
        </w:rPr>
      </w:pPr>
      <w:r>
        <w:rPr>
          <w:rFonts w:hint="eastAsia" w:ascii="仿宋" w:hAnsi="仿宋" w:eastAsia="仿宋" w:cs="仿宋"/>
          <w:b/>
          <w:sz w:val="32"/>
          <w:szCs w:val="32"/>
          <w:highlight w:val="none"/>
          <w:u w:val="none"/>
        </w:rPr>
        <w:t>（三）一般性支出情况：2021</w:t>
      </w:r>
      <w:r>
        <w:rPr>
          <w:rFonts w:hint="eastAsia" w:ascii="仿宋" w:hAnsi="仿宋" w:eastAsia="仿宋" w:cs="仿宋"/>
          <w:kern w:val="0"/>
          <w:sz w:val="32"/>
          <w:szCs w:val="32"/>
          <w:highlight w:val="none"/>
          <w:u w:val="none"/>
        </w:rPr>
        <w:t>年本部门会议费预算</w:t>
      </w:r>
      <w:r>
        <w:rPr>
          <w:rFonts w:hint="eastAsia" w:ascii="仿宋" w:hAnsi="仿宋" w:eastAsia="仿宋" w:cs="仿宋"/>
          <w:sz w:val="32"/>
          <w:szCs w:val="32"/>
          <w:highlight w:val="none"/>
          <w:u w:val="none"/>
          <w:lang w:val="en-US" w:eastAsia="zh-CN"/>
        </w:rPr>
        <w:t>0</w:t>
      </w:r>
      <w:r>
        <w:rPr>
          <w:rFonts w:hint="eastAsia" w:ascii="仿宋" w:hAnsi="仿宋" w:eastAsia="仿宋" w:cs="仿宋"/>
          <w:kern w:val="0"/>
          <w:sz w:val="32"/>
          <w:szCs w:val="32"/>
          <w:highlight w:val="none"/>
          <w:u w:val="none"/>
        </w:rPr>
        <w:t>万元；培训费预算</w:t>
      </w:r>
      <w:r>
        <w:rPr>
          <w:rFonts w:hint="eastAsia" w:ascii="仿宋" w:hAnsi="仿宋" w:eastAsia="仿宋" w:cs="仿宋"/>
          <w:sz w:val="32"/>
          <w:szCs w:val="32"/>
          <w:highlight w:val="none"/>
          <w:u w:val="none"/>
          <w:lang w:val="en-US" w:eastAsia="zh-CN"/>
        </w:rPr>
        <w:t>3</w:t>
      </w:r>
      <w:r>
        <w:rPr>
          <w:rFonts w:hint="eastAsia" w:ascii="仿宋" w:hAnsi="仿宋" w:eastAsia="仿宋" w:cs="仿宋"/>
          <w:kern w:val="0"/>
          <w:sz w:val="32"/>
          <w:szCs w:val="32"/>
          <w:highlight w:val="none"/>
          <w:u w:val="none"/>
        </w:rPr>
        <w:t>万元，拟开展</w:t>
      </w:r>
      <w:r>
        <w:rPr>
          <w:rFonts w:hint="eastAsia" w:ascii="仿宋" w:hAnsi="仿宋" w:eastAsia="仿宋" w:cs="仿宋"/>
          <w:sz w:val="32"/>
          <w:szCs w:val="32"/>
          <w:highlight w:val="none"/>
          <w:u w:val="none"/>
          <w:lang w:val="en-US" w:eastAsia="zh-CN"/>
        </w:rPr>
        <w:t>1</w:t>
      </w:r>
      <w:r>
        <w:rPr>
          <w:rFonts w:hint="eastAsia" w:ascii="仿宋" w:hAnsi="仿宋" w:eastAsia="仿宋" w:cs="仿宋"/>
          <w:kern w:val="0"/>
          <w:sz w:val="32"/>
          <w:szCs w:val="32"/>
          <w:highlight w:val="none"/>
          <w:u w:val="none"/>
        </w:rPr>
        <w:t>培训，人数</w:t>
      </w:r>
      <w:r>
        <w:rPr>
          <w:rFonts w:hint="eastAsia" w:ascii="仿宋" w:hAnsi="仿宋" w:eastAsia="仿宋" w:cs="仿宋"/>
          <w:sz w:val="32"/>
          <w:szCs w:val="32"/>
          <w:highlight w:val="none"/>
          <w:u w:val="none"/>
          <w:lang w:val="en-US" w:eastAsia="zh-CN"/>
        </w:rPr>
        <w:t>190</w:t>
      </w:r>
      <w:r>
        <w:rPr>
          <w:rFonts w:hint="eastAsia" w:ascii="仿宋" w:hAnsi="仿宋" w:eastAsia="仿宋" w:cs="仿宋"/>
          <w:kern w:val="0"/>
          <w:sz w:val="32"/>
          <w:szCs w:val="32"/>
          <w:highlight w:val="none"/>
          <w:u w:val="none"/>
        </w:rPr>
        <w:t>人，内容为</w:t>
      </w:r>
      <w:r>
        <w:rPr>
          <w:rFonts w:hint="eastAsia" w:ascii="仿宋" w:hAnsi="仿宋" w:eastAsia="仿宋" w:cs="仿宋"/>
          <w:sz w:val="32"/>
          <w:szCs w:val="32"/>
          <w:highlight w:val="none"/>
          <w:u w:val="none"/>
          <w:lang w:val="en-US" w:eastAsia="zh-CN"/>
        </w:rPr>
        <w:t>开福区就业创业工作推进暨业务培训会议</w:t>
      </w:r>
      <w:r>
        <w:rPr>
          <w:rFonts w:hint="eastAsia" w:ascii="仿宋" w:hAnsi="仿宋" w:eastAsia="仿宋" w:cs="仿宋"/>
          <w:kern w:val="0"/>
          <w:sz w:val="32"/>
          <w:szCs w:val="32"/>
          <w:highlight w:val="none"/>
          <w:u w:val="none"/>
        </w:rPr>
        <w:t>；</w:t>
      </w:r>
      <w:r>
        <w:rPr>
          <w:rFonts w:hint="eastAsia" w:ascii="仿宋" w:hAnsi="仿宋" w:eastAsia="仿宋" w:cs="仿宋"/>
          <w:kern w:val="0"/>
          <w:sz w:val="32"/>
          <w:szCs w:val="32"/>
          <w:highlight w:val="none"/>
          <w:u w:val="none"/>
          <w:lang w:val="en-US" w:eastAsia="zh-CN"/>
        </w:rPr>
        <w:t>未</w:t>
      </w:r>
      <w:r>
        <w:rPr>
          <w:rFonts w:hint="eastAsia" w:ascii="仿宋" w:hAnsi="仿宋" w:eastAsia="仿宋" w:cs="仿宋"/>
          <w:kern w:val="0"/>
          <w:sz w:val="32"/>
          <w:szCs w:val="32"/>
          <w:highlight w:val="none"/>
          <w:u w:val="none"/>
        </w:rPr>
        <w:t>举办节庆、晚会、论坛、赛事活动。</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（四）政府采购情况：</w:t>
      </w:r>
      <w:r>
        <w:rPr>
          <w:rFonts w:hint="eastAsia" w:ascii="仿宋" w:hAnsi="仿宋" w:eastAsia="仿宋" w:cs="仿宋"/>
          <w:bCs/>
          <w:sz w:val="32"/>
          <w:szCs w:val="32"/>
        </w:rPr>
        <w:t>2021年开福区就业服务中心政府采购预算总额44.3</w:t>
      </w:r>
      <w:r>
        <w:rPr>
          <w:rFonts w:hint="eastAsia" w:ascii="仿宋" w:hAnsi="仿宋" w:eastAsia="仿宋" w:cs="仿宋"/>
          <w:bCs/>
          <w:sz w:val="32"/>
          <w:szCs w:val="32"/>
          <w:lang w:val="en-US" w:eastAsia="zh-CN"/>
        </w:rPr>
        <w:t>3</w:t>
      </w:r>
      <w:r>
        <w:rPr>
          <w:rFonts w:hint="eastAsia" w:ascii="仿宋" w:hAnsi="仿宋" w:eastAsia="仿宋" w:cs="仿宋"/>
          <w:bCs/>
          <w:sz w:val="32"/>
          <w:szCs w:val="32"/>
        </w:rPr>
        <w:t>万元，其中：政府采购工程预算0万元、政府采购服务预算40万元，政府采购货物预算4.</w:t>
      </w:r>
      <w:r>
        <w:rPr>
          <w:rFonts w:hint="eastAsia" w:ascii="仿宋" w:hAnsi="仿宋" w:eastAsia="仿宋" w:cs="仿宋"/>
          <w:bCs/>
          <w:sz w:val="32"/>
          <w:szCs w:val="32"/>
          <w:lang w:val="en-US" w:eastAsia="zh-CN"/>
        </w:rPr>
        <w:t>33</w:t>
      </w:r>
      <w:r>
        <w:rPr>
          <w:rFonts w:hint="eastAsia" w:ascii="仿宋" w:hAnsi="仿宋" w:eastAsia="仿宋" w:cs="仿宋"/>
          <w:bCs/>
          <w:sz w:val="32"/>
          <w:szCs w:val="32"/>
        </w:rPr>
        <w:t>万元。2021年政府采购预算较2020年减少56.795万元，降低56.16%。主要原因是提高了采购物品和服务的使用效率，积极落实厉行节约的要求，从严控制经费支出。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sz w:val="32"/>
          <w:szCs w:val="32"/>
        </w:rPr>
        <w:t>（五）国有资产占用使用及新增资产配置情况：：</w:t>
      </w:r>
      <w:r>
        <w:rPr>
          <w:rFonts w:hint="eastAsia" w:ascii="仿宋" w:hAnsi="仿宋" w:eastAsia="仿宋" w:cs="仿宋"/>
          <w:sz w:val="32"/>
          <w:szCs w:val="32"/>
        </w:rPr>
        <w:t>截至</w:t>
      </w:r>
      <w:r>
        <w:rPr>
          <w:rFonts w:hint="eastAsia" w:ascii="仿宋" w:hAnsi="仿宋" w:eastAsia="仿宋" w:cs="仿宋"/>
          <w:color w:val="000000" w:themeColor="text1"/>
          <w:sz w:val="32"/>
          <w:szCs w:val="32"/>
          <w14:textFill>
            <w14:solidFill>
              <w14:schemeClr w14:val="tx1"/>
            </w14:solidFill>
          </w14:textFill>
        </w:rPr>
        <w:t>2020年12月底，本部门</w:t>
      </w:r>
      <w:r>
        <w:rPr>
          <w:rFonts w:hint="eastAsia" w:ascii="仿宋" w:hAnsi="仿宋" w:eastAsia="仿宋" w:cs="仿宋"/>
          <w:bCs/>
          <w:color w:val="000000" w:themeColor="text1"/>
          <w:kern w:val="0"/>
          <w:sz w:val="32"/>
          <w:szCs w:val="32"/>
          <w14:textFill>
            <w14:solidFill>
              <w14:schemeClr w14:val="tx1"/>
            </w14:solidFill>
          </w14:textFill>
        </w:rPr>
        <w:t>共有公务用车0辆，其中，机要通信用车0辆，应急保障用车0辆，执法执勤用车0辆，特种专业技术用车</w:t>
      </w:r>
      <w:r>
        <w:rPr>
          <w:rFonts w:hint="eastAsia" w:ascii="仿宋" w:hAnsi="仿宋" w:eastAsia="仿宋" w:cs="仿宋"/>
          <w:bCs/>
          <w:color w:val="000000" w:themeColor="text1"/>
          <w:kern w:val="0"/>
          <w:sz w:val="32"/>
          <w:szCs w:val="32"/>
          <w:lang w:val="en-US" w:eastAsia="zh-CN"/>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其他按照规定配备的公务用车0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 w:hAnsi="仿宋" w:eastAsia="仿宋" w:cs="仿宋"/>
          <w:bCs/>
          <w:sz w:val="32"/>
          <w:szCs w:val="32"/>
        </w:rPr>
      </w:pPr>
      <w:r>
        <w:rPr>
          <w:rFonts w:hint="eastAsia" w:ascii="仿宋" w:hAnsi="仿宋" w:eastAsia="仿宋" w:cs="仿宋"/>
          <w:b/>
          <w:bCs/>
          <w:sz w:val="32"/>
          <w:szCs w:val="32"/>
        </w:rPr>
        <w:t>（六）预算绩效目标说明：</w:t>
      </w:r>
      <w:r>
        <w:rPr>
          <w:rFonts w:hint="eastAsia" w:ascii="仿宋" w:hAnsi="仿宋" w:eastAsia="仿宋" w:cs="仿宋"/>
          <w:bCs/>
          <w:sz w:val="32"/>
          <w:szCs w:val="32"/>
        </w:rPr>
        <w:t>按照区级预算绩效管理工作的总体要求，明确了预算绩效管理的职责要求，进一步促进本单位财政支出绩效评价工作的有序开展。2021年开福区就业服务中心整体支出绩效目标1350.23万元，其中：基本支出301.33万元，项目支出1048.90万元。全部实行整体支出绩效目标管理，涉及一般公共预算当年拨款1350.23万元。2021年开福区就业服务中心项目支出绩效目标</w:t>
      </w:r>
      <w:r>
        <w:rPr>
          <w:rFonts w:hint="eastAsia" w:ascii="仿宋" w:hAnsi="仿宋" w:eastAsia="仿宋" w:cs="仿宋"/>
          <w:bCs/>
          <w:sz w:val="32"/>
          <w:szCs w:val="32"/>
          <w:lang w:val="en-US" w:eastAsia="zh-CN"/>
        </w:rPr>
        <w:t>1048.9</w:t>
      </w:r>
      <w:bookmarkStart w:id="0" w:name="_GoBack"/>
      <w:bookmarkEnd w:id="0"/>
      <w:r>
        <w:rPr>
          <w:rFonts w:hint="eastAsia" w:ascii="仿宋" w:hAnsi="仿宋" w:eastAsia="仿宋" w:cs="仿宋"/>
          <w:bCs/>
          <w:sz w:val="32"/>
          <w:szCs w:val="32"/>
        </w:rPr>
        <w:t>万元，其中：事务性业务专项支出183万元，一般性业务专项865.90万元，全部实行项目支出绩效目标管理。</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仿宋"/>
          <w:bCs/>
          <w:sz w:val="32"/>
          <w:szCs w:val="32"/>
        </w:rPr>
      </w:pPr>
      <w:r>
        <w:rPr>
          <w:rFonts w:hint="eastAsia" w:ascii="黑体" w:hAnsi="黑体" w:eastAsia="黑体" w:cs="仿宋"/>
          <w:bCs/>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（一）一般公共预算拨款收入：指开福区财政当年拨付的资金。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（二）基本支出：指为保障机构正常运转、完成日常工作任务而发生的人员支出和公用支出。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（三）项目支出：指在基本支出之外为完成特定行政任务和事业发展目标所发生的支出。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五）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cs="仿宋"/>
          <w:bCs/>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rPr>
          <w:rFonts w:hint="eastAsia" w:ascii="仿宋" w:hAnsi="仿宋" w:eastAsia="仿宋" w:cs="仿宋"/>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kYWY0YWQ4YzU2OWZkMDI4ZTgyODUwN2JlZTFjOTEifQ=="/>
  </w:docVars>
  <w:rsids>
    <w:rsidRoot w:val="4B5712D6"/>
    <w:rsid w:val="00001232"/>
    <w:rsid w:val="00071C19"/>
    <w:rsid w:val="001F48BF"/>
    <w:rsid w:val="003A7A32"/>
    <w:rsid w:val="008D2CB7"/>
    <w:rsid w:val="044C0C16"/>
    <w:rsid w:val="0BB6003E"/>
    <w:rsid w:val="14622519"/>
    <w:rsid w:val="157932C7"/>
    <w:rsid w:val="1D0165EA"/>
    <w:rsid w:val="2E425DC8"/>
    <w:rsid w:val="2ED20200"/>
    <w:rsid w:val="4348021F"/>
    <w:rsid w:val="4B5712D6"/>
    <w:rsid w:val="52A7286F"/>
    <w:rsid w:val="588D7990"/>
    <w:rsid w:val="6E2F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2838</Words>
  <Characters>3102</Characters>
  <Lines>22</Lines>
  <Paragraphs>6</Paragraphs>
  <TotalTime>3</TotalTime>
  <ScaleCrop>false</ScaleCrop>
  <LinksUpToDate>false</LinksUpToDate>
  <CharactersWithSpaces>3109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2022-06-28T14:21:00Z</dcterms:created>
  <dc:creator>燕子</dc:creator>
  <cp:lastModifiedBy>Hp</cp:lastModifiedBy>
  <dcterms:modified xsi:type="dcterms:W3CDTF">2022-08-19T03:53:04Z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FDBF03AEA8804D12A0F374B7758AB8F1</vt:lpwstr>
  </property>
</Properties>
</file>