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å¾®è½¯é›…é»‘" w:hAnsi="å¾®è½¯é›…é»‘" w:eastAsia="å¾®è½¯é›…é»‘" w:cs="å¾®è½¯é›…é»‘"/>
          <w:color w:val="auto"/>
          <w:sz w:val="28"/>
          <w:szCs w:val="28"/>
        </w:rPr>
      </w:pPr>
      <w:r>
        <w:rPr>
          <w:rFonts w:ascii="仿宋" w:hAnsi="仿宋" w:eastAsia="仿宋" w:cs="仿宋"/>
          <w:color w:val="auto"/>
          <w:sz w:val="48"/>
          <w:szCs w:val="48"/>
        </w:rPr>
        <w:t>2021年长沙市</w:t>
      </w:r>
      <w:r>
        <w:rPr>
          <w:rFonts w:hint="default" w:ascii="仿宋" w:hAnsi="仿宋" w:eastAsia="仿宋" w:cs="仿宋"/>
          <w:color w:val="auto"/>
          <w:sz w:val="48"/>
          <w:szCs w:val="48"/>
        </w:rPr>
        <w:t>开福区民政局部门预算</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Style w:val="6"/>
          <w:rFonts w:ascii="宋体" w:hAnsi="宋体" w:eastAsia="宋体" w:cs="宋体"/>
          <w:color w:val="auto"/>
          <w:sz w:val="16"/>
          <w:szCs w:val="1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Style w:val="6"/>
          <w:rFonts w:ascii="宋体" w:hAnsi="宋体" w:eastAsia="宋体" w:cs="宋体"/>
          <w:color w:val="auto"/>
          <w:sz w:val="16"/>
          <w:szCs w:val="16"/>
        </w:rPr>
      </w:pP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Style w:val="6"/>
          <w:rFonts w:ascii="宋体" w:hAnsi="宋体" w:eastAsia="宋体" w:cs="宋体"/>
          <w:color w:val="auto"/>
          <w:sz w:val="16"/>
          <w:szCs w:val="16"/>
        </w:rPr>
      </w:pPr>
    </w:p>
    <w:p>
      <w:pPr>
        <w:pStyle w:val="3"/>
        <w:keepNext w:val="0"/>
        <w:keepLines w:val="0"/>
        <w:pageBreakBefore w:val="0"/>
        <w:widowControl/>
        <w:numPr>
          <w:ilvl w:val="0"/>
          <w:numId w:val="2"/>
        </w:numPr>
        <w:kinsoku/>
        <w:wordWrap/>
        <w:overflowPunct/>
        <w:topLinePunct w:val="0"/>
        <w:autoSpaceDE/>
        <w:autoSpaceDN/>
        <w:bidi w:val="0"/>
        <w:adjustRightInd/>
        <w:snapToGrid/>
        <w:spacing w:before="24" w:beforeAutospacing="0" w:after="24" w:afterAutospacing="0" w:line="600" w:lineRule="exact"/>
        <w:jc w:val="center"/>
        <w:textAlignment w:val="auto"/>
        <w:rPr>
          <w:rFonts w:ascii="黑体" w:hAnsi="黑体" w:eastAsia="黑体" w:cs="黑体"/>
          <w:b/>
          <w:color w:val="auto"/>
          <w:sz w:val="44"/>
          <w:szCs w:val="44"/>
        </w:rPr>
      </w:pPr>
      <w:r>
        <w:rPr>
          <w:rFonts w:hint="eastAsia" w:ascii="黑体" w:hAnsi="黑体" w:eastAsia="黑体" w:cs="黑体"/>
          <w:b/>
          <w:color w:val="auto"/>
          <w:sz w:val="44"/>
          <w:szCs w:val="44"/>
        </w:rPr>
        <w:t>2021年部门预算说明</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jc w:val="both"/>
        <w:textAlignment w:val="auto"/>
        <w:rPr>
          <w:rFonts w:ascii="黑体" w:hAnsi="黑体" w:eastAsia="黑体" w:cs="黑体"/>
          <w:b/>
          <w:color w:val="auto"/>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6"/>
          <w:rFonts w:ascii="宋体" w:hAnsi="宋体" w:eastAsia="宋体" w:cs="宋体"/>
          <w:color w:val="auto"/>
          <w:sz w:val="16"/>
          <w:szCs w:val="16"/>
        </w:rPr>
      </w:pPr>
      <w:r>
        <w:rPr>
          <w:rFonts w:eastAsia="黑体"/>
          <w:bCs/>
          <w:color w:val="auto"/>
          <w:kern w:val="0"/>
          <w:sz w:val="32"/>
          <w:szCs w:val="32"/>
        </w:rPr>
        <w:t>一、部门基本概况</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color w:val="auto"/>
          <w:sz w:val="32"/>
          <w:szCs w:val="32"/>
        </w:rPr>
      </w:pPr>
      <w:r>
        <w:rPr>
          <w:rFonts w:hint="eastAsia" w:ascii="仿宋" w:hAnsi="仿宋" w:eastAsia="仿宋" w:cs="仿宋"/>
          <w:b/>
          <w:color w:val="auto"/>
          <w:sz w:val="32"/>
          <w:szCs w:val="32"/>
        </w:rPr>
        <w:t>（一）职能职责</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1、贯彻执行党和国家关于民政工作的法律、法规和方针、政策；拟订全区民政事业发展规划和政策，并负责组织实施和监督管理；规划和指导民政信息化建设工作。</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2、承担依法对全区社会团体、民办非企业单位登记管理和执法监察责任，指导全区社会组织管理工作，指导全区社会组织党建工作。</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3、组织实施各级部门城乡基层群众自治组织建设和社区建设相关制度；组织城乡社区建设和服务管理工作；推动村（居）务公开和基层民主政治建设；负责指导基层群众自治组织及其工作人员的表彰。</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4、组织实施行政区划和地名管理总体规划、相关政策；负责行政区域界线的勘定和管理工作；负责全区地名管理工作。</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组织实施社会福利事业发展规划、政策；指导全区社会福利机构的建设和管理；做好全区老年人、孤儿等特殊群体的权益保障工作；做好全区城乡养老服务工作；负责救助管理站的维护和管理工作以及全区生活无着流浪乞讨人员的救助管理工作；贯彻执行儿童收养政策；组织促进全区慈善事业发展及社会捐助工作；承担区慈善会日常工作，按福利彩票发行管理实施办法的规定，负责全区福利彩票的销售管理工作。</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6、贯彻执行国家的殡葬管理、婚姻登记政策并组织实施；推进全区殡葬和婚俗改革。</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7、负责全区民政事业经费的管理和使用；负责全区民政事业经费的审计和监督；负责全区民政统计工作。</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8、会同有关部门按规定拟订全区社会工作地方性规章草案和发展规划、职业规范，推进全区社会工作人才队伍建设，负责全区社会工作职业资格培训、考核、登记管理和志愿者队伍建设；指导全区基层民政干部职工队伍建设。</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9、负责全区城乡居民最低生活保障、居民经济状况核对、城乡低收入家庭认定、住房保障家庭收入认定、临时救助工作；负责全区农村五保供养和敬老院建设管理工作；负责全区城乡社会救助体系建设工作；负责全区社会救助资金管理使用的监管工作；负责全区社会救助信息管理系统的技术指导、网络管理和维护工作。</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10、依法行使法律法规赋予的县级人民政府民政部门的其他行政执法职能。</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11、承办区人民政府交办的其他事项。</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（二）机构设置</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default" w:ascii="仿宋" w:hAnsi="仿宋" w:eastAsia="仿宋" w:cs="仿宋"/>
          <w:bCs/>
          <w:color w:val="auto"/>
          <w:sz w:val="32"/>
          <w:szCs w:val="32"/>
          <w:highlight w:val="yellow"/>
          <w:lang w:val="en-US" w:eastAsia="zh-CN"/>
        </w:rPr>
      </w:pPr>
      <w:r>
        <w:rPr>
          <w:rFonts w:hint="eastAsia" w:ascii="仿宋" w:hAnsi="仿宋" w:eastAsia="仿宋" w:cs="仿宋"/>
          <w:bCs/>
          <w:color w:val="auto"/>
          <w:sz w:val="32"/>
          <w:szCs w:val="32"/>
          <w:highlight w:val="none"/>
        </w:rPr>
        <w:t>本部门由一个行政单位及三个二级机构组成，二级机构包括：长沙市开福区社会工作服务中心、长沙市开福区社会救助事务中心及长沙市开福区生活无着人员救助站。</w:t>
      </w:r>
      <w:r>
        <w:rPr>
          <w:rFonts w:hint="eastAsia" w:ascii="仿宋" w:hAnsi="仿宋" w:eastAsia="仿宋" w:cs="仿宋"/>
          <w:bCs/>
          <w:color w:val="auto"/>
          <w:sz w:val="32"/>
          <w:szCs w:val="32"/>
          <w:highlight w:val="none"/>
          <w:lang w:val="en-US" w:eastAsia="zh-CN"/>
        </w:rPr>
        <w:t>内设机构6个，分别是</w:t>
      </w:r>
      <w:r>
        <w:rPr>
          <w:rFonts w:hint="eastAsia" w:ascii="仿宋" w:hAnsi="仿宋" w:eastAsia="仿宋" w:cs="仿宋"/>
          <w:b w:val="0"/>
          <w:bCs w:val="0"/>
          <w:color w:val="auto"/>
          <w:kern w:val="0"/>
          <w:sz w:val="32"/>
          <w:szCs w:val="32"/>
          <w:highlight w:val="none"/>
          <w:lang w:val="en-US" w:eastAsia="zh-CN" w:bidi="ar-SA"/>
        </w:rPr>
        <w:t>办公室、计划财务科、基层政权和社区治理科（行政审批和政务服务科）、社会事务科、养老服务与慈善科、社会组织管理科（社会组织执法监察科）。</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二、部门预算单位构成</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纳入2021年部门预算编制范围的二级预算单位包括：</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1、民政局部门本级</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2、开福区社会工作服务中心</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3、开福区社会救助事务中心</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4、开福区生活无着人员救助站</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三、部门收支概况</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2021年部门预算包括本级预算和所属单位预算在内的汇总情况。收入既包括一般公共预算收入、政府性基金收入和国有资本经营预算收入，又包括事业单位经营服务等收入；支出既包括保障局机关及局属事业单位基本运行的经费，也包括面向全区分配的殡葬服务经费、救助站管理经费、社会福利（敬老院）、散居孤儿生活补助、高龄老人津贴补助、临时救济、居家养老经费、民生保险、残疾人两项补贴、全区慰问费、城乡低保补助、社区办公用房建设、社区工作经费、社区惠民项目、等专项经费。</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color w:val="auto"/>
          <w:sz w:val="32"/>
          <w:szCs w:val="32"/>
        </w:rPr>
        <w:t>（一）收入预算：</w:t>
      </w:r>
      <w:r>
        <w:rPr>
          <w:rFonts w:hint="eastAsia" w:ascii="仿宋" w:hAnsi="仿宋" w:eastAsia="仿宋" w:cs="仿宋"/>
          <w:bCs/>
          <w:color w:val="auto"/>
          <w:sz w:val="32"/>
          <w:szCs w:val="32"/>
        </w:rPr>
        <w:t>2021年本部门收入预算数17781.19万元，其中，一般公共预算拨款</w:t>
      </w:r>
      <w:r>
        <w:rPr>
          <w:rFonts w:hint="eastAsia" w:ascii="仿宋" w:hAnsi="仿宋" w:eastAsia="仿宋" w:cs="仿宋"/>
          <w:bCs/>
          <w:color w:val="auto"/>
          <w:sz w:val="32"/>
          <w:szCs w:val="32"/>
        </w:rPr>
        <w:t>17781.19</w:t>
      </w:r>
      <w:r>
        <w:rPr>
          <w:rFonts w:hint="eastAsia" w:ascii="仿宋" w:hAnsi="仿宋" w:eastAsia="仿宋" w:cs="仿宋"/>
          <w:bCs/>
          <w:color w:val="auto"/>
          <w:sz w:val="32"/>
          <w:szCs w:val="32"/>
        </w:rPr>
        <w:t>万元，政府性基金预算拨款0万元，国有资本经营预算拨款0万元，纳入专户管理的非税收入0万元。收入较去年增加712.31万元，</w:t>
      </w:r>
      <w:r>
        <w:rPr>
          <w:rFonts w:hint="eastAsia" w:ascii="仿宋" w:hAnsi="仿宋" w:eastAsia="仿宋" w:cs="仿宋"/>
          <w:bCs/>
          <w:color w:val="auto"/>
          <w:sz w:val="32"/>
          <w:szCs w:val="32"/>
        </w:rPr>
        <w:t>上升4.17%</w:t>
      </w:r>
      <w:r>
        <w:rPr>
          <w:rFonts w:hint="eastAsia" w:ascii="仿宋" w:hAnsi="仿宋" w:eastAsia="仿宋" w:cs="仿宋"/>
          <w:bCs/>
          <w:color w:val="auto"/>
          <w:sz w:val="32"/>
          <w:szCs w:val="32"/>
        </w:rPr>
        <w:t>。主要原因是困难群体待遇提高。</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（二）支出预算：</w:t>
      </w:r>
      <w:r>
        <w:rPr>
          <w:rFonts w:hint="eastAsia" w:ascii="仿宋" w:hAnsi="仿宋" w:eastAsia="仿宋" w:cs="仿宋"/>
          <w:bCs/>
          <w:color w:val="auto"/>
          <w:sz w:val="32"/>
          <w:szCs w:val="32"/>
        </w:rPr>
        <w:t>2021年支出预算数17781.19万元，其中，</w:t>
      </w:r>
      <w:r>
        <w:rPr>
          <w:rFonts w:hint="eastAsia" w:ascii="仿宋" w:hAnsi="仿宋" w:eastAsia="仿宋" w:cs="仿宋"/>
          <w:bCs/>
          <w:color w:val="auto"/>
          <w:sz w:val="32"/>
          <w:szCs w:val="32"/>
        </w:rPr>
        <w:t>社会保障和就业支出17711.43</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rPr>
        <w:t>住房保障支出69.76万元</w:t>
      </w:r>
      <w:r>
        <w:rPr>
          <w:rFonts w:hint="eastAsia" w:ascii="仿宋" w:hAnsi="仿宋" w:eastAsia="仿宋" w:cs="仿宋"/>
          <w:bCs/>
          <w:color w:val="auto"/>
          <w:sz w:val="32"/>
          <w:szCs w:val="32"/>
        </w:rPr>
        <w:t>。本年支出预算数比上年增加712.31万元，</w:t>
      </w:r>
      <w:r>
        <w:rPr>
          <w:rFonts w:hint="eastAsia" w:ascii="仿宋" w:hAnsi="仿宋" w:eastAsia="仿宋" w:cs="仿宋"/>
          <w:bCs/>
          <w:color w:val="auto"/>
          <w:sz w:val="32"/>
          <w:szCs w:val="32"/>
        </w:rPr>
        <w:t>上升4.17%，</w:t>
      </w:r>
      <w:r>
        <w:rPr>
          <w:rFonts w:hint="eastAsia" w:ascii="仿宋" w:hAnsi="仿宋" w:eastAsia="仿宋" w:cs="仿宋"/>
          <w:bCs/>
          <w:color w:val="auto"/>
          <w:sz w:val="32"/>
          <w:szCs w:val="32"/>
        </w:rPr>
        <w:t>主要原因是困难群体待遇提高。</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四、一般公共预算拨款支出预算</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2021年一般公共预算拨款收入</w:t>
      </w:r>
      <w:r>
        <w:rPr>
          <w:rFonts w:hint="eastAsia" w:ascii="仿宋" w:hAnsi="仿宋" w:eastAsia="仿宋" w:cs="仿宋"/>
          <w:bCs/>
          <w:color w:val="auto"/>
          <w:sz w:val="32"/>
          <w:szCs w:val="32"/>
        </w:rPr>
        <w:t>17781.19</w:t>
      </w:r>
      <w:r>
        <w:rPr>
          <w:rFonts w:hint="eastAsia" w:ascii="仿宋" w:hAnsi="仿宋" w:eastAsia="仿宋" w:cs="仿宋"/>
          <w:bCs/>
          <w:color w:val="auto"/>
          <w:sz w:val="32"/>
          <w:szCs w:val="32"/>
        </w:rPr>
        <w:t>万元，其中，</w:t>
      </w:r>
      <w:r>
        <w:rPr>
          <w:rFonts w:hint="eastAsia" w:ascii="仿宋" w:hAnsi="仿宋" w:eastAsia="仿宋" w:cs="仿宋"/>
          <w:bCs/>
          <w:color w:val="auto"/>
          <w:sz w:val="32"/>
          <w:szCs w:val="32"/>
        </w:rPr>
        <w:t>社会保障和就业支出17711.43</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rPr>
        <w:t>占99.61%;住房保障支出69.76万元，占0.39%。</w:t>
      </w:r>
      <w:r>
        <w:rPr>
          <w:rFonts w:hint="eastAsia" w:ascii="仿宋" w:hAnsi="仿宋" w:eastAsia="仿宋" w:cs="仿宋"/>
          <w:bCs/>
          <w:color w:val="auto"/>
          <w:sz w:val="32"/>
          <w:szCs w:val="32"/>
        </w:rPr>
        <w:t>具体安排情况如下：</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color w:val="auto"/>
          <w:sz w:val="32"/>
          <w:szCs w:val="32"/>
        </w:rPr>
        <w:t>（一）基本支出：</w:t>
      </w:r>
      <w:r>
        <w:rPr>
          <w:rFonts w:hint="eastAsia" w:ascii="仿宋" w:hAnsi="仿宋" w:eastAsia="仿宋" w:cs="仿宋"/>
          <w:bCs/>
          <w:color w:val="auto"/>
          <w:sz w:val="32"/>
          <w:szCs w:val="32"/>
        </w:rPr>
        <w:t>2021年基本支出预算数为</w:t>
      </w:r>
      <w:r>
        <w:rPr>
          <w:rFonts w:hint="eastAsia" w:ascii="仿宋" w:hAnsi="仿宋" w:eastAsia="仿宋" w:cs="仿宋"/>
          <w:bCs/>
          <w:color w:val="auto"/>
          <w:sz w:val="32"/>
          <w:szCs w:val="32"/>
        </w:rPr>
        <w:t>1119.19</w:t>
      </w:r>
      <w:r>
        <w:rPr>
          <w:rFonts w:hint="eastAsia" w:ascii="仿宋" w:hAnsi="仿宋" w:eastAsia="仿宋" w:cs="仿宋"/>
          <w:bCs/>
          <w:color w:val="auto"/>
          <w:sz w:val="32"/>
          <w:szCs w:val="32"/>
        </w:rPr>
        <w:t>万元，是指为保障单位机构正常运转、完成日常工作任务而发生的各项支出，包括用于基本工资、津贴补贴等人员经费以及办公费、印刷费、水电费、办公设备购置等日常公用经费。</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（二）项目支出：</w:t>
      </w:r>
      <w:r>
        <w:rPr>
          <w:rFonts w:hint="eastAsia" w:ascii="仿宋" w:hAnsi="仿宋" w:eastAsia="仿宋" w:cs="仿宋"/>
          <w:bCs/>
          <w:color w:val="auto"/>
          <w:sz w:val="32"/>
          <w:szCs w:val="32"/>
        </w:rPr>
        <w:t>2021年预算数为16662万元，是指单位为完成特定行政工作任务或事业发展目标而发生的支出，其中：一般行政管理事务981万元，主要用于局工作经费、保险及春节慰问；基层政权建设和社区治理10303万元，主要用于社区办公经费、人员经费和惠民</w:t>
      </w:r>
      <w:bookmarkStart w:id="0" w:name="_GoBack"/>
      <w:bookmarkEnd w:id="0"/>
      <w:r>
        <w:rPr>
          <w:rFonts w:hint="eastAsia" w:ascii="仿宋" w:hAnsi="仿宋" w:eastAsia="仿宋" w:cs="仿宋"/>
          <w:bCs/>
          <w:color w:val="auto"/>
          <w:sz w:val="32"/>
          <w:szCs w:val="32"/>
        </w:rPr>
        <w:t>资金；地干工资专项经费85万元，主要用于地退干部工资及遗属生活费；其他就业补助支出636万元，主要用于低保专干工资，保险，工作经费，住房公积金；儿童福利136万元，主要用于11名散居孤儿基本生活费和困境儿童生活补助；老年福利2648万元，主要用于80岁以上高龄老人津贴补助和居家养老；殡葬95万元，主要用于殡葬补助；残疾人生活和护理补贴520万元，主要用于困难残疾人生活补贴以及重度残疾人护理补贴；城乡低保补助专项资金1100万元，主要用于城乡低保支出；临时救济专项经费140万元，主要用于五保户及三无人员医疗自付部分，六十年代精减退职人员生活救济，救助站管理经费18万元，主要用于规范生活无着的流浪、乞讨人员救助管理工作，维护受助人员合法权益。</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eastAsia="仿宋_GB2312"/>
          <w:bCs/>
          <w:color w:val="auto"/>
          <w:sz w:val="32"/>
          <w:szCs w:val="32"/>
        </w:rPr>
        <w:t>本部门无政府性基金安排的支出</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六、其他重要事项的情况说明</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highlight w:val="none"/>
          <w:u w:val="none"/>
        </w:rPr>
      </w:pPr>
      <w:r>
        <w:rPr>
          <w:rFonts w:hint="eastAsia" w:ascii="仿宋" w:hAnsi="仿宋" w:eastAsia="仿宋" w:cs="仿宋"/>
          <w:b/>
          <w:color w:val="auto"/>
          <w:sz w:val="32"/>
          <w:szCs w:val="32"/>
          <w:highlight w:val="none"/>
          <w:u w:val="none"/>
        </w:rPr>
        <w:t>（一）机关运行经费：</w:t>
      </w:r>
      <w:r>
        <w:rPr>
          <w:rFonts w:hint="eastAsia" w:ascii="仿宋" w:hAnsi="仿宋" w:eastAsia="仿宋" w:cs="仿宋"/>
          <w:bCs/>
          <w:color w:val="auto"/>
          <w:sz w:val="32"/>
          <w:szCs w:val="32"/>
          <w:highlight w:val="none"/>
          <w:u w:val="none"/>
        </w:rPr>
        <w:t>2021年局机关（行政单位）以及二级机构的机关运行经费财政拨款预算94.01万元，</w:t>
      </w:r>
      <w:r>
        <w:rPr>
          <w:rFonts w:hint="eastAsia" w:ascii="仿宋" w:hAnsi="仿宋" w:eastAsia="仿宋" w:cs="仿宋"/>
          <w:color w:val="auto"/>
          <w:sz w:val="32"/>
          <w:szCs w:val="32"/>
          <w:highlight w:val="none"/>
          <w:u w:val="none"/>
        </w:rPr>
        <w:t>比上年预算增加6.46万元，上升7.38%</w:t>
      </w:r>
      <w:r>
        <w:rPr>
          <w:rFonts w:hint="eastAsia" w:ascii="仿宋" w:hAnsi="仿宋" w:eastAsia="仿宋" w:cs="仿宋"/>
          <w:color w:val="auto"/>
          <w:sz w:val="32"/>
          <w:szCs w:val="32"/>
          <w:highlight w:val="none"/>
          <w:u w:val="none"/>
        </w:rPr>
        <w:t>，主要是基本工资、津贴补贴等人员经费财政拨款增加。</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Cs/>
          <w:color w:val="auto"/>
          <w:kern w:val="0"/>
          <w:sz w:val="32"/>
          <w:szCs w:val="32"/>
          <w:highlight w:val="none"/>
          <w:u w:val="none"/>
        </w:rPr>
      </w:pPr>
      <w:r>
        <w:rPr>
          <w:rFonts w:hint="eastAsia" w:ascii="仿宋" w:hAnsi="仿宋" w:eastAsia="仿宋" w:cs="仿宋"/>
          <w:b/>
          <w:color w:val="auto"/>
          <w:sz w:val="32"/>
          <w:szCs w:val="32"/>
          <w:highlight w:val="none"/>
          <w:u w:val="none"/>
        </w:rPr>
        <w:t>（二）“三公”经费预算：</w:t>
      </w:r>
      <w:r>
        <w:rPr>
          <w:rFonts w:hint="eastAsia" w:ascii="仿宋" w:hAnsi="仿宋" w:eastAsia="仿宋" w:cs="仿宋"/>
          <w:bCs/>
          <w:color w:val="auto"/>
          <w:kern w:val="0"/>
          <w:sz w:val="32"/>
          <w:szCs w:val="32"/>
          <w:highlight w:val="none"/>
          <w:u w:val="none"/>
        </w:rPr>
        <w:t>2021年“三公”经费预算数为3.7万元。</w:t>
      </w:r>
      <w:r>
        <w:rPr>
          <w:rFonts w:hint="eastAsia" w:ascii="仿宋" w:hAnsi="仿宋" w:eastAsia="仿宋" w:cs="仿宋"/>
          <w:color w:val="auto"/>
          <w:sz w:val="32"/>
          <w:szCs w:val="32"/>
          <w:highlight w:val="none"/>
          <w:u w:val="none"/>
        </w:rPr>
        <w:t>其中，公务接待费0.5万元，公务用车购置及运行费3.2万元（其中，公务用车购置费0万元，公务用车运行费3.2万元），因公出国（境）费0万元。2021年“三公”经费预算较2020年持平。</w:t>
      </w:r>
      <w:r>
        <w:rPr>
          <w:rFonts w:hint="eastAsia" w:ascii="仿宋" w:hAnsi="仿宋" w:eastAsia="仿宋" w:cs="仿宋"/>
          <w:color w:val="auto"/>
          <w:sz w:val="32"/>
          <w:szCs w:val="32"/>
          <w:highlight w:val="none"/>
          <w:u w:val="none"/>
          <w:lang w:val="en-US" w:eastAsia="zh-CN"/>
        </w:rPr>
        <w:t>主要原因是积极落实厉行节约的要求，从严控制公务接待行为。</w:t>
      </w:r>
      <w:r>
        <w:rPr>
          <w:rFonts w:hint="eastAsia" w:ascii="仿宋" w:hAnsi="仿宋" w:eastAsia="仿宋" w:cs="仿宋"/>
          <w:color w:val="auto"/>
          <w:sz w:val="32"/>
          <w:szCs w:val="32"/>
          <w:highlight w:val="none"/>
          <w:u w:val="none"/>
          <w:lang w:val="en-US" w:eastAsia="zh-CN"/>
        </w:rPr>
        <w:t>　</w:t>
      </w:r>
      <w:r>
        <w:rPr>
          <w:rFonts w:hint="eastAsia" w:ascii="仿宋" w:hAnsi="仿宋" w:eastAsia="仿宋" w:cs="仿宋"/>
          <w:bCs/>
          <w:color w:val="auto"/>
          <w:kern w:val="0"/>
          <w:sz w:val="32"/>
          <w:szCs w:val="32"/>
          <w:highlight w:val="none"/>
          <w:u w:val="none"/>
        </w:rPr>
        <w:t>　</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Cs/>
          <w:color w:val="auto"/>
          <w:kern w:val="0"/>
          <w:sz w:val="32"/>
          <w:szCs w:val="32"/>
          <w:highlight w:val="none"/>
          <w:u w:val="none"/>
        </w:rPr>
      </w:pPr>
      <w:r>
        <w:rPr>
          <w:rFonts w:hint="eastAsia" w:ascii="仿宋" w:hAnsi="仿宋" w:eastAsia="仿宋" w:cs="仿宋"/>
          <w:b/>
          <w:color w:val="auto"/>
          <w:sz w:val="32"/>
          <w:szCs w:val="32"/>
          <w:highlight w:val="none"/>
          <w:u w:val="none"/>
        </w:rPr>
        <w:t>（三）一般性支出情况：2021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color w:val="auto"/>
          <w:sz w:val="32"/>
          <w:szCs w:val="32"/>
        </w:rPr>
        <w:t>（四）政府采购情况：</w:t>
      </w:r>
      <w:r>
        <w:rPr>
          <w:rFonts w:hint="eastAsia" w:ascii="仿宋" w:hAnsi="仿宋" w:eastAsia="仿宋" w:cs="仿宋"/>
          <w:bCs/>
          <w:color w:val="auto"/>
          <w:sz w:val="32"/>
          <w:szCs w:val="32"/>
        </w:rPr>
        <w:t>2021年开福区民政局单位政府采购预算总额479.8万元，其中：政府采购货物预算80万元、政府采购工程预算30万元、政府采购服务预算369.8万元。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highlight w:val="none"/>
          <w:u w:val="none"/>
        </w:rPr>
      </w:pPr>
      <w:r>
        <w:rPr>
          <w:rFonts w:hint="eastAsia" w:ascii="仿宋" w:hAnsi="仿宋" w:eastAsia="仿宋" w:cs="仿宋"/>
          <w:b/>
          <w:color w:val="auto"/>
          <w:sz w:val="32"/>
          <w:szCs w:val="32"/>
          <w:highlight w:val="none"/>
          <w:u w:val="none"/>
        </w:rPr>
        <w:t>（五）国有资产占用使用及新增资产配置情况：</w:t>
      </w:r>
      <w:r>
        <w:rPr>
          <w:rFonts w:hint="eastAsia" w:ascii="仿宋" w:hAnsi="仿宋" w:eastAsia="仿宋" w:cs="仿宋"/>
          <w:color w:val="auto"/>
          <w:sz w:val="32"/>
          <w:szCs w:val="32"/>
          <w:highlight w:val="none"/>
          <w:u w:val="none"/>
        </w:rPr>
        <w:t>截至2020年12月底，本部门</w:t>
      </w:r>
      <w:r>
        <w:rPr>
          <w:rFonts w:hint="eastAsia" w:ascii="仿宋" w:hAnsi="仿宋" w:eastAsia="仿宋" w:cs="仿宋"/>
          <w:bCs/>
          <w:color w:val="auto"/>
          <w:kern w:val="0"/>
          <w:sz w:val="32"/>
          <w:szCs w:val="32"/>
          <w:highlight w:val="none"/>
          <w:u w:val="none"/>
        </w:rPr>
        <w:t>共有公务用车</w:t>
      </w:r>
      <w:r>
        <w:rPr>
          <w:rFonts w:hint="eastAsia" w:ascii="仿宋" w:hAnsi="仿宋" w:eastAsia="仿宋" w:cs="仿宋"/>
          <w:bCs/>
          <w:color w:val="auto"/>
          <w:kern w:val="0"/>
          <w:sz w:val="32"/>
          <w:szCs w:val="32"/>
          <w:highlight w:val="none"/>
          <w:u w:val="none"/>
          <w:lang w:val="en-US" w:eastAsia="zh-CN"/>
        </w:rPr>
        <w:t>1</w:t>
      </w:r>
      <w:r>
        <w:rPr>
          <w:rFonts w:hint="eastAsia" w:ascii="仿宋" w:hAnsi="仿宋" w:eastAsia="仿宋" w:cs="仿宋"/>
          <w:bCs/>
          <w:color w:val="auto"/>
          <w:kern w:val="0"/>
          <w:sz w:val="32"/>
          <w:szCs w:val="32"/>
          <w:highlight w:val="none"/>
          <w:u w:val="none"/>
        </w:rPr>
        <w:t>辆，其中，机要通信用车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辆，应急保障用车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辆，执法执勤用车</w:t>
      </w:r>
      <w:r>
        <w:rPr>
          <w:rFonts w:hint="eastAsia" w:ascii="仿宋" w:hAnsi="仿宋" w:eastAsia="仿宋" w:cs="仿宋"/>
          <w:bCs/>
          <w:color w:val="auto"/>
          <w:kern w:val="0"/>
          <w:sz w:val="32"/>
          <w:szCs w:val="32"/>
          <w:highlight w:val="none"/>
          <w:u w:val="none"/>
          <w:lang w:val="en-US" w:eastAsia="zh-CN"/>
        </w:rPr>
        <w:t>1</w:t>
      </w:r>
      <w:r>
        <w:rPr>
          <w:rFonts w:hint="eastAsia" w:ascii="仿宋" w:hAnsi="仿宋" w:eastAsia="仿宋" w:cs="仿宋"/>
          <w:bCs/>
          <w:color w:val="auto"/>
          <w:kern w:val="0"/>
          <w:sz w:val="32"/>
          <w:szCs w:val="32"/>
          <w:highlight w:val="none"/>
          <w:u w:val="none"/>
        </w:rPr>
        <w:t>辆，特种专业技术用车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辆，其他按照规定配备的公务用车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辆；单位价值50万元以上通用设备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台，单位价值100万元以上专用设备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台。2021年拟新增配置公务用车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辆，其中，机要通信用车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辆，应急保障用车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辆，执法执勤用车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辆，特种专业技术用车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辆，其他按照规定配备的公务用车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辆；新增配备单位价值50万元以上通用设备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台，单位价值100万元以上专用设备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（六）预算绩效目标说明：</w:t>
      </w:r>
      <w:r>
        <w:rPr>
          <w:rFonts w:hint="eastAsia" w:ascii="仿宋" w:hAnsi="仿宋" w:eastAsia="仿宋" w:cs="仿宋"/>
          <w:bCs/>
          <w:color w:val="auto"/>
          <w:kern w:val="0"/>
          <w:sz w:val="32"/>
          <w:szCs w:val="32"/>
        </w:rPr>
        <w:t>本部门所有支出实行绩效目标管理。纳入2021年部门整体支出绩效目标的金额为</w:t>
      </w:r>
      <w:r>
        <w:rPr>
          <w:rFonts w:hint="eastAsia" w:ascii="仿宋" w:hAnsi="仿宋" w:eastAsia="仿宋" w:cs="仿宋"/>
          <w:color w:val="auto"/>
          <w:sz w:val="32"/>
          <w:szCs w:val="32"/>
        </w:rPr>
        <w:t>17781.19</w:t>
      </w:r>
      <w:r>
        <w:rPr>
          <w:rFonts w:hint="eastAsia" w:ascii="仿宋" w:hAnsi="仿宋" w:eastAsia="仿宋" w:cs="仿宋"/>
          <w:bCs/>
          <w:color w:val="auto"/>
          <w:kern w:val="0"/>
          <w:sz w:val="32"/>
          <w:szCs w:val="32"/>
        </w:rPr>
        <w:t>万元，其中，基本支出</w:t>
      </w:r>
      <w:r>
        <w:rPr>
          <w:rFonts w:hint="eastAsia" w:ascii="仿宋" w:hAnsi="仿宋" w:eastAsia="仿宋" w:cs="仿宋"/>
          <w:color w:val="auto"/>
          <w:sz w:val="32"/>
          <w:szCs w:val="32"/>
        </w:rPr>
        <w:t>1119.19</w:t>
      </w:r>
      <w:r>
        <w:rPr>
          <w:rFonts w:hint="eastAsia" w:ascii="仿宋" w:hAnsi="仿宋" w:eastAsia="仿宋" w:cs="仿宋"/>
          <w:bCs/>
          <w:color w:val="auto"/>
          <w:kern w:val="0"/>
          <w:sz w:val="32"/>
          <w:szCs w:val="32"/>
        </w:rPr>
        <w:t>万元，项目支出</w:t>
      </w:r>
      <w:r>
        <w:rPr>
          <w:rFonts w:hint="eastAsia" w:ascii="仿宋" w:hAnsi="仿宋" w:eastAsia="仿宋" w:cs="仿宋"/>
          <w:color w:val="auto"/>
          <w:sz w:val="32"/>
          <w:szCs w:val="32"/>
        </w:rPr>
        <w:t>16662</w:t>
      </w:r>
      <w:r>
        <w:rPr>
          <w:rFonts w:hint="eastAsia" w:ascii="仿宋" w:hAnsi="仿宋" w:eastAsia="仿宋" w:cs="仿宋"/>
          <w:bCs/>
          <w:color w:val="auto"/>
          <w:kern w:val="0"/>
          <w:sz w:val="32"/>
          <w:szCs w:val="32"/>
        </w:rPr>
        <w:t>万元，具体绩效目标详见报表。</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七、名词解释</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（一）一般公共预算拨款收入：指开福区财政当年拨付的资金。</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（二）基本支出：指为保障机构正常运转、完成日常工作任务而发生的人员支出和公用支出。</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（三）项目支出：指在基本支出之外为完成特定行政任务和事业发展目标所发生的支出。</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仿宋"/>
          <w:bCs/>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cs="仿宋"/>
          <w:bCs/>
          <w:color w:val="auto"/>
          <w:kern w:val="0"/>
          <w:sz w:val="32"/>
          <w:szCs w:val="32"/>
        </w:rPr>
      </w:pPr>
      <w:r>
        <w:rPr>
          <w:rFonts w:hint="eastAsia" w:ascii="黑体" w:hAnsi="黑体" w:eastAsia="黑体" w:cs="黑体"/>
          <w:b/>
          <w:color w:val="auto"/>
          <w:kern w:val="0"/>
          <w:sz w:val="44"/>
          <w:szCs w:val="44"/>
        </w:rPr>
        <w:t>第二部分 2021年部门预算表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983A0"/>
    <w:multiLevelType w:val="singleLevel"/>
    <w:tmpl w:val="D2D983A0"/>
    <w:lvl w:ilvl="0" w:tentative="0">
      <w:start w:val="1"/>
      <w:numFmt w:val="chineseCounting"/>
      <w:suff w:val="space"/>
      <w:lvlText w:val="第%1部分"/>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3ODM0NDdkNmExYTFjNmI5Y2U2MDYyYTExZWYwOWEifQ=="/>
  </w:docVars>
  <w:rsids>
    <w:rsidRoot w:val="44041D88"/>
    <w:rsid w:val="008E431A"/>
    <w:rsid w:val="00EB431F"/>
    <w:rsid w:val="09C12208"/>
    <w:rsid w:val="0A0D7099"/>
    <w:rsid w:val="0C632F1F"/>
    <w:rsid w:val="1C1773D9"/>
    <w:rsid w:val="2E2E745B"/>
    <w:rsid w:val="3BBA20E7"/>
    <w:rsid w:val="3C68693B"/>
    <w:rsid w:val="44041D88"/>
    <w:rsid w:val="4CB92293"/>
    <w:rsid w:val="4D241856"/>
    <w:rsid w:val="4D4E7A07"/>
    <w:rsid w:val="570010E5"/>
    <w:rsid w:val="5E8E3BD0"/>
    <w:rsid w:val="77B91110"/>
    <w:rsid w:val="783F4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3535</Words>
  <Characters>3768</Characters>
  <Lines>27</Lines>
  <Paragraphs>7</Paragraphs>
  <TotalTime>4</TotalTime>
  <ScaleCrop>false</ScaleCrop>
  <LinksUpToDate>false</LinksUpToDate>
  <CharactersWithSpaces>3774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2022-06-28T14:33:00Z</dcterms:created>
  <dc:creator>燕子</dc:creator>
  <cp:lastModifiedBy>Betula</cp:lastModifiedBy>
  <dcterms:modified xsi:type="dcterms:W3CDTF">2022-08-19T03:24:02Z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F662F63721FA4E4B95A9E7914F16DC63</vt:lpwstr>
  </property>
</Properties>
</file>