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B" w:rsidRPr="00715ACB" w:rsidRDefault="00715ACB" w:rsidP="00715ACB">
      <w:pPr>
        <w:widowControl/>
        <w:spacing w:line="375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Times New Roman" w:cs="宋体" w:hint="eastAsia"/>
          <w:bCs/>
          <w:color w:val="000000"/>
          <w:kern w:val="0"/>
          <w:sz w:val="36"/>
          <w:szCs w:val="36"/>
        </w:rPr>
        <w:t>2016年开福区劳动保障监察大队预算编制说明</w:t>
      </w:r>
    </w:p>
    <w:p w:rsidR="00715ACB" w:rsidRPr="00715ACB" w:rsidRDefault="00715ACB" w:rsidP="00715ACB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Times New Roman" w:cs="宋体" w:hint="eastAsia"/>
          <w:bCs/>
          <w:color w:val="000000"/>
          <w:kern w:val="0"/>
          <w:sz w:val="30"/>
          <w:szCs w:val="30"/>
        </w:rPr>
        <w:t> </w:t>
      </w:r>
    </w:p>
    <w:p w:rsidR="00715ACB" w:rsidRPr="00715ACB" w:rsidRDefault="00715ACB" w:rsidP="00715ACB">
      <w:pPr>
        <w:widowControl/>
        <w:spacing w:line="50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Times New Roman" w:cs="宋体" w:hint="eastAsia"/>
          <w:bCs/>
          <w:color w:val="000000"/>
          <w:kern w:val="0"/>
          <w:sz w:val="32"/>
          <w:szCs w:val="32"/>
        </w:rPr>
        <w:t>一、部门主要职责</w:t>
      </w:r>
    </w:p>
    <w:p w:rsidR="00715ACB" w:rsidRPr="00715ACB" w:rsidRDefault="00715ACB" w:rsidP="00715ACB">
      <w:pPr>
        <w:widowControl/>
        <w:shd w:val="clear" w:color="auto" w:fill="FFFFFF"/>
        <w:spacing w:before="100" w:beforeAutospacing="1" w:after="100" w:afterAutospacing="1" w:line="58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1、宣传劳动保障法律、法规和规章，督促用人单位贯彻执行；2、检查用人单位遵守劳动保障法律、法规和规章的情况；3、受理对违反劳动保障法律、法规和规章的行为的举报、投诉；4、依法纠正和查处违反劳动保障法律、法规或者规章的行为；5、负责处理本区劳动人事争议仲裁委员会管辖的劳动人事争议案件;6、负责全区劳动人事争议仲裁员队伍建设工作，专、兼职劳动人事争议仲裁员和调解员的培训聘用管理;7、负责指导各街区劳动人事争议调解中心工作;8、负责各用人单位劳动人事争议调解组织的业务指导;9、承担区劳动人事争议仲裁委员会日常工作;10、对上级人力资源和社会保障部门送审、修订、清理地方性法规、规章草案提出建议；11、</w:t>
      </w:r>
      <w:proofErr w:type="gramStart"/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承担局</w:t>
      </w:r>
      <w:proofErr w:type="gramEnd"/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机关行政复议、行政应诉、听证和执法监督等相关工作；12、负责相关普法工作及法律、法规培训和咨询服务工作。拟订区劳动争议调解仲裁工作规划、计划和实施规范；贯彻落实劳动关系政策；监督指导劳动合同、集体合同制度实施规范；13、按照管理权限负责集体合同的审核和劳动用工备案工作；14、承担</w:t>
      </w:r>
      <w:proofErr w:type="gramStart"/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人社局</w:t>
      </w:r>
      <w:proofErr w:type="gramEnd"/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信访工作。</w:t>
      </w:r>
    </w:p>
    <w:p w:rsidR="00715ACB" w:rsidRPr="00715ACB" w:rsidRDefault="00715ACB" w:rsidP="00715ACB">
      <w:pPr>
        <w:widowControl/>
        <w:spacing w:line="500" w:lineRule="exac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Times New Roman" w:cs="宋体" w:hint="eastAsia"/>
          <w:bCs/>
          <w:color w:val="000000"/>
          <w:kern w:val="0"/>
          <w:sz w:val="32"/>
          <w:szCs w:val="32"/>
        </w:rPr>
        <w:t>二、2016年主要工作任务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（和部门决算有关部分）</w:t>
      </w:r>
    </w:p>
    <w:p w:rsidR="00715ACB" w:rsidRPr="00715ACB" w:rsidRDefault="00715ACB" w:rsidP="00715ACB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2016年主要工作任务及目标是：</w:t>
      </w:r>
    </w:p>
    <w:p w:rsidR="00715ACB" w:rsidRPr="00715ACB" w:rsidRDefault="00715ACB" w:rsidP="00715ACB">
      <w:pPr>
        <w:widowControl/>
        <w:spacing w:line="580" w:lineRule="exact"/>
        <w:ind w:left="1650" w:hanging="105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1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、</w:t>
      </w:r>
      <w:r w:rsidRPr="00715ACB">
        <w:rPr>
          <w:rFonts w:ascii="Times New Roman" w:eastAsia="仿宋_GB2312" w:hAnsi="Times New Roman" w:cs="Times New Roman"/>
          <w:bCs/>
          <w:color w:val="000000"/>
          <w:kern w:val="0"/>
          <w:sz w:val="14"/>
          <w:szCs w:val="14"/>
        </w:rPr>
        <w:t xml:space="preserve">       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宣传贯彻落实劳动保障相关方针、政策、法律法规，</w:t>
      </w:r>
    </w:p>
    <w:p w:rsidR="00715ACB" w:rsidRPr="00715ACB" w:rsidRDefault="00715ACB" w:rsidP="00715ACB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lastRenderedPageBreak/>
        <w:t>统筹实施劳动、人事争议调解仲裁制度，提出劳动关系政策的有关建议。负责本系统劳动监察协管员、劳动人事争议调解员以及辖区内用人单位人力资源人员的相关法律、法规的培训以及面向广大劳动者的法律法规的宣传和指导。</w:t>
      </w:r>
    </w:p>
    <w:p w:rsidR="00715ACB" w:rsidRPr="00715ACB" w:rsidRDefault="00715ACB" w:rsidP="00715ACB">
      <w:pPr>
        <w:widowControl/>
        <w:spacing w:line="58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2、会同有关部门拟订农民工工作综合性规划，推动农民工相关政策的落实，协调解决重点难点问题，维护农民工合法权益。</w:t>
      </w:r>
    </w:p>
    <w:p w:rsidR="00715ACB" w:rsidRPr="00715ACB" w:rsidRDefault="00715ACB" w:rsidP="00715ACB">
      <w:pPr>
        <w:widowControl/>
        <w:spacing w:line="58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3、负责接待全区涉及违反劳动法律法规和规章来信来</w:t>
      </w:r>
    </w:p>
    <w:p w:rsidR="00715ACB" w:rsidRPr="00715ACB" w:rsidRDefault="00715ACB" w:rsidP="00715ACB">
      <w:pPr>
        <w:widowControl/>
        <w:spacing w:line="58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访，按法律程序及时处理各类劳动监察投诉案件。</w:t>
      </w:r>
    </w:p>
    <w:p w:rsidR="00715ACB" w:rsidRPr="00715ACB" w:rsidRDefault="00715ACB" w:rsidP="00715ACB">
      <w:pPr>
        <w:widowControl/>
        <w:spacing w:line="58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4、开展劳动保障监察执法活动，保障劳动者的合法权益，查处违法行为；推进“两网化”管理。加快完成劳动保障监察“网格化”、“网络化”建设。全区实现“两网化”管理全覆盖。将监察力量延伸到街道和社区（村）；争取 2016年底建立劳动保障监察案件联动受理机制系统。</w:t>
      </w:r>
    </w:p>
    <w:p w:rsidR="00715ACB" w:rsidRPr="00715ACB" w:rsidRDefault="00715ACB" w:rsidP="00715ACB">
      <w:pPr>
        <w:widowControl/>
        <w:spacing w:line="58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 xml:space="preserve">5、做好劳动监察巡查日常工作。 </w:t>
      </w:r>
    </w:p>
    <w:p w:rsidR="00715ACB" w:rsidRPr="00715ACB" w:rsidRDefault="00715ACB" w:rsidP="00715ACB">
      <w:pPr>
        <w:widowControl/>
        <w:spacing w:line="58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6、负责全区劳动人事争议仲裁工作。公开、公平、公正严格按法律程序来办理劳动人事争议仲裁案件。做</w:t>
      </w:r>
      <w:proofErr w:type="gramStart"/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发仲裁</w:t>
      </w:r>
      <w:proofErr w:type="gramEnd"/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委的日常工作。</w:t>
      </w:r>
    </w:p>
    <w:p w:rsidR="00715ACB" w:rsidRPr="00715ACB" w:rsidRDefault="00715ACB" w:rsidP="00715ACB">
      <w:pPr>
        <w:widowControl/>
        <w:spacing w:line="58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7、加强专业性劳动人事争议调解规范化建设。在全区各街道成立劳动人事争议调解中心，利用现有资源为当事人维权提供良好条件和环境。</w:t>
      </w:r>
    </w:p>
    <w:p w:rsidR="00715ACB" w:rsidRPr="00715ACB" w:rsidRDefault="00715ACB" w:rsidP="00715ACB">
      <w:pPr>
        <w:widowControl/>
        <w:spacing w:line="58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8、负责全区工资集体协商工作；负责全区12333咨询工作。</w:t>
      </w:r>
    </w:p>
    <w:p w:rsidR="00715ACB" w:rsidRPr="00715ACB" w:rsidRDefault="00715ACB" w:rsidP="00715ACB">
      <w:pPr>
        <w:widowControl/>
        <w:spacing w:line="58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工作目标：</w:t>
      </w:r>
    </w:p>
    <w:p w:rsidR="00715ACB" w:rsidRPr="00715ACB" w:rsidRDefault="00715ACB" w:rsidP="00715ACB">
      <w:pPr>
        <w:widowControl/>
        <w:spacing w:line="560" w:lineRule="exact"/>
        <w:ind w:left="1363" w:hanging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OLE_LINK2"/>
      <w:bookmarkStart w:id="1" w:name="OLE_LINK3"/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1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、</w:t>
      </w:r>
      <w:r w:rsidRPr="00715ACB">
        <w:rPr>
          <w:rFonts w:ascii="Times New Roman" w:eastAsia="仿宋_GB2312" w:hAnsi="Times New Roman" w:cs="Times New Roman"/>
          <w:bCs/>
          <w:color w:val="000000"/>
          <w:kern w:val="0"/>
          <w:sz w:val="14"/>
          <w:szCs w:val="14"/>
        </w:rPr>
        <w:t xml:space="preserve">   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建立基层劳动人事争议调解中心</w:t>
      </w:r>
    </w:p>
    <w:p w:rsidR="00715ACB" w:rsidRPr="00715ACB" w:rsidRDefault="00715ACB" w:rsidP="00715ACB">
      <w:pPr>
        <w:widowControl/>
        <w:spacing w:line="560" w:lineRule="exact"/>
        <w:ind w:left="643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利用基层组织（司法所、劳动保障站）的职能，将劳动</w:t>
      </w:r>
    </w:p>
    <w:p w:rsidR="00715ACB" w:rsidRPr="00715ACB" w:rsidRDefault="00715ACB" w:rsidP="00715ACB">
      <w:pPr>
        <w:widowControl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lastRenderedPageBreak/>
        <w:t>人事争议调解工作首站设在基层，由基层先行调解，调解未果及不服再转至开福区劳动人事争议仲裁院进行裁决。</w:t>
      </w:r>
    </w:p>
    <w:p w:rsidR="00715ACB" w:rsidRPr="00715ACB" w:rsidRDefault="00715ACB" w:rsidP="00715ACB">
      <w:pPr>
        <w:widowControl/>
        <w:spacing w:line="560" w:lineRule="exact"/>
        <w:ind w:left="1363" w:hanging="7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2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、</w:t>
      </w:r>
      <w:r w:rsidRPr="00715ACB">
        <w:rPr>
          <w:rFonts w:ascii="Times New Roman" w:eastAsia="仿宋_GB2312" w:hAnsi="Times New Roman" w:cs="Times New Roman"/>
          <w:bCs/>
          <w:color w:val="000000"/>
          <w:kern w:val="0"/>
          <w:sz w:val="14"/>
          <w:szCs w:val="14"/>
        </w:rPr>
        <w:t xml:space="preserve">   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组织基层劳动人事争议调解人员和劳动监察协管</w:t>
      </w:r>
    </w:p>
    <w:p w:rsidR="00715ACB" w:rsidRPr="00715ACB" w:rsidRDefault="00715ACB" w:rsidP="00715ACB">
      <w:pPr>
        <w:widowControl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人员培训。</w:t>
      </w:r>
    </w:p>
    <w:p w:rsidR="00715ACB" w:rsidRPr="00715ACB" w:rsidRDefault="00715ACB" w:rsidP="00715ACB">
      <w:pPr>
        <w:widowControl/>
        <w:spacing w:line="56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 xml:space="preserve">    以培训为手段，旨在提高基层工作人员素质，督促基层工作，充分发挥基层组织的主观能动性，从而使各项工作有序开展。</w:t>
      </w:r>
      <w:bookmarkEnd w:id="0"/>
      <w:bookmarkEnd w:id="1"/>
    </w:p>
    <w:p w:rsidR="00715ACB" w:rsidRPr="00715ACB" w:rsidRDefault="00715ACB" w:rsidP="00715ACB">
      <w:pPr>
        <w:widowControl/>
        <w:spacing w:line="56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3、重点开展各类专项执法检查</w:t>
      </w:r>
    </w:p>
    <w:p w:rsidR="00715ACB" w:rsidRPr="00715ACB" w:rsidRDefault="00715ACB" w:rsidP="00715ACB">
      <w:pPr>
        <w:widowControl/>
        <w:spacing w:line="56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以专项执法检查为重点，以日常巡查为辅助手段，查处重点领域、建筑工地劳动用工违法行为。除省、市统一部署外，结合我区劳动用工现状，组织实施有针对性的专项执法检查；针对举报投诉频发行业制订日常巡视检查计划，并建立主办监察员联络机制，指导用人单位规范用工行为。我们将重点开展劳务派遣专项检查、农民工工资专项检查等。</w:t>
      </w:r>
    </w:p>
    <w:p w:rsidR="00715ACB" w:rsidRPr="00715ACB" w:rsidRDefault="00715ACB" w:rsidP="00715ACB">
      <w:pPr>
        <w:widowControl/>
        <w:spacing w:line="56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4、突出做好打击非法用工工作</w:t>
      </w:r>
    </w:p>
    <w:p w:rsidR="00715ACB" w:rsidRPr="00715ACB" w:rsidRDefault="00715ACB" w:rsidP="00715ACB">
      <w:pPr>
        <w:widowControl/>
        <w:spacing w:line="56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首先，根据实际工作中遇到的问题，制定有效的工作措施。其次</w:t>
      </w:r>
      <w:proofErr w:type="gramStart"/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深入执法检</w:t>
      </w:r>
      <w:proofErr w:type="gramEnd"/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，制定专项检查实施方案，完善相关制度，确保任务分解到，及时查处案件。</w:t>
      </w:r>
    </w:p>
    <w:p w:rsidR="00715ACB" w:rsidRPr="00715ACB" w:rsidRDefault="00715ACB" w:rsidP="00715ACB">
      <w:pPr>
        <w:widowControl/>
        <w:spacing w:line="56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5、着力解决</w:t>
      </w:r>
      <w:proofErr w:type="gramStart"/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两网化建设</w:t>
      </w:r>
      <w:proofErr w:type="gramEnd"/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存在的问题</w:t>
      </w:r>
    </w:p>
    <w:p w:rsidR="00715ACB" w:rsidRPr="00715ACB" w:rsidRDefault="00715ACB" w:rsidP="00715ACB">
      <w:pPr>
        <w:widowControl/>
        <w:spacing w:after="405" w:line="56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继续推进劳动保障监察两网化工作，逐步构建横向到边、纵向到底、责任明确、跟踪及时、覆盖城乡用人单位的劳动保障监察执法网，建立具有信息共享、数据比对、动态监控、预警预测功能的劳动保障监察监控管理平台。</w:t>
      </w:r>
    </w:p>
    <w:p w:rsidR="00715ACB" w:rsidRPr="00715ACB" w:rsidRDefault="00715ACB" w:rsidP="00715ACB">
      <w:pPr>
        <w:widowControl/>
        <w:spacing w:line="375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Times New Roman" w:cs="宋体" w:hint="eastAsia"/>
          <w:bCs/>
          <w:color w:val="000000"/>
          <w:kern w:val="0"/>
          <w:sz w:val="32"/>
          <w:szCs w:val="32"/>
        </w:rPr>
        <w:t>三、部门及单位基本情况</w:t>
      </w:r>
    </w:p>
    <w:p w:rsidR="00715ACB" w:rsidRPr="00715ACB" w:rsidRDefault="00715ACB" w:rsidP="00715ACB">
      <w:pPr>
        <w:widowControl/>
        <w:spacing w:line="50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Calibri" w:cs="宋体" w:hint="eastAsia"/>
          <w:bCs/>
          <w:color w:val="000000"/>
          <w:kern w:val="0"/>
          <w:sz w:val="30"/>
          <w:szCs w:val="30"/>
        </w:rPr>
        <w:lastRenderedPageBreak/>
        <w:t>1、部门设置。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本部门是开福区人社局下属的一个二级机构，属于全额拨款</w:t>
      </w:r>
      <w:proofErr w:type="gramStart"/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的参公事业单位</w:t>
      </w:r>
      <w:proofErr w:type="gramEnd"/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。</w:t>
      </w:r>
    </w:p>
    <w:p w:rsidR="00715ACB" w:rsidRPr="00715ACB" w:rsidRDefault="00715ACB" w:rsidP="00715ACB">
      <w:pPr>
        <w:widowControl/>
        <w:spacing w:line="375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 xml:space="preserve"> </w:t>
      </w:r>
    </w:p>
    <w:p w:rsidR="00715ACB" w:rsidRPr="00715ACB" w:rsidRDefault="00715ACB" w:rsidP="00715ACB">
      <w:pPr>
        <w:widowControl/>
        <w:spacing w:line="375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Times New Roman" w:cs="宋体" w:hint="eastAsia"/>
          <w:bCs/>
          <w:color w:val="000000"/>
          <w:kern w:val="0"/>
          <w:sz w:val="30"/>
          <w:szCs w:val="30"/>
        </w:rPr>
        <w:t>2、人员情况。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本部门编制数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6  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人，在职人数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6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人，其中：在岗人数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6 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人；编外长期聘用人员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 4 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人；离退休人数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 1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人，其中离休人员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0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人，退休人员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1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人。</w:t>
      </w:r>
    </w:p>
    <w:p w:rsidR="00715ACB" w:rsidRPr="00715ACB" w:rsidRDefault="00715ACB" w:rsidP="00715ACB">
      <w:pPr>
        <w:widowControl/>
        <w:spacing w:line="375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Times New Roman" w:cs="宋体" w:hint="eastAsia"/>
          <w:bCs/>
          <w:color w:val="000000"/>
          <w:kern w:val="0"/>
          <w:sz w:val="32"/>
          <w:szCs w:val="32"/>
        </w:rPr>
        <w:t>四、部门及单位支出预算安排情况</w:t>
      </w:r>
    </w:p>
    <w:p w:rsidR="00715ACB" w:rsidRPr="00715ACB" w:rsidRDefault="00715ACB" w:rsidP="00715ACB">
      <w:pPr>
        <w:widowControl/>
        <w:spacing w:line="375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Times New Roman" w:cs="宋体" w:hint="eastAsia"/>
          <w:bCs/>
          <w:color w:val="000000"/>
          <w:kern w:val="0"/>
          <w:sz w:val="30"/>
          <w:szCs w:val="30"/>
        </w:rPr>
        <w:t xml:space="preserve">1、基本支出。 </w:t>
      </w: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2016年部门基本支出</w:t>
      </w: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921621   </w:t>
      </w: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元，其中人员支出</w:t>
      </w: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786621   </w:t>
      </w: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元，机关运行经费</w:t>
      </w: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135000   </w:t>
      </w:r>
      <w:r w:rsidRPr="00715ACB">
        <w:rPr>
          <w:rFonts w:ascii="仿宋_GB2312" w:eastAsia="仿宋_GB2312" w:hAnsi="Times New Roman" w:cs="Times New Roman" w:hint="eastAsia"/>
          <w:bCs/>
          <w:color w:val="000000"/>
          <w:kern w:val="0"/>
          <w:sz w:val="30"/>
          <w:szCs w:val="30"/>
        </w:rPr>
        <w:t>元。</w:t>
      </w:r>
    </w:p>
    <w:p w:rsidR="00715ACB" w:rsidRPr="00715ACB" w:rsidRDefault="00715ACB" w:rsidP="00715ACB">
      <w:pPr>
        <w:widowControl/>
        <w:spacing w:line="375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Times New Roman" w:cs="宋体" w:hint="eastAsia"/>
          <w:bCs/>
          <w:color w:val="000000"/>
          <w:kern w:val="0"/>
          <w:sz w:val="30"/>
          <w:szCs w:val="30"/>
        </w:rPr>
        <w:t>2、部门专项支出。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根据部门行政事业发展目标，结合财力可能，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2016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年安排部门专项支出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95000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元，具体项目情况说明如下：劳动监察检查及信息维护经费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40000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元，仲裁工作经费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50000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元，大厅工作人员经费补贴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5000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元。</w:t>
      </w:r>
    </w:p>
    <w:p w:rsidR="00715ACB" w:rsidRPr="00715ACB" w:rsidRDefault="00715ACB" w:rsidP="00715ACB">
      <w:pPr>
        <w:widowControl/>
        <w:spacing w:line="375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Times New Roman" w:cs="宋体" w:hint="eastAsia"/>
          <w:bCs/>
          <w:color w:val="000000"/>
          <w:kern w:val="0"/>
          <w:sz w:val="30"/>
          <w:szCs w:val="30"/>
        </w:rPr>
        <w:t>3、三</w:t>
      </w:r>
      <w:proofErr w:type="gramStart"/>
      <w:r w:rsidRPr="00715ACB">
        <w:rPr>
          <w:rFonts w:ascii="黑体" w:eastAsia="黑体" w:hAnsi="Times New Roman" w:cs="宋体" w:hint="eastAsia"/>
          <w:bCs/>
          <w:color w:val="000000"/>
          <w:kern w:val="0"/>
          <w:sz w:val="30"/>
          <w:szCs w:val="30"/>
        </w:rPr>
        <w:t>公经费</w:t>
      </w:r>
      <w:proofErr w:type="gramEnd"/>
      <w:r w:rsidRPr="00715ACB">
        <w:rPr>
          <w:rFonts w:ascii="黑体" w:eastAsia="黑体" w:hAnsi="Times New Roman" w:cs="宋体" w:hint="eastAsia"/>
          <w:bCs/>
          <w:color w:val="000000"/>
          <w:kern w:val="0"/>
          <w:sz w:val="30"/>
          <w:szCs w:val="30"/>
        </w:rPr>
        <w:t>支出。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三</w:t>
      </w:r>
      <w:proofErr w:type="gramStart"/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公经费</w:t>
      </w:r>
      <w:proofErr w:type="gramEnd"/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支出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36000 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元，其中，公务接待支出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4000 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元，公车运行及购置费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 32000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元，因公出国（出境）经费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  <w:u w:val="thick"/>
        </w:rPr>
        <w:t xml:space="preserve">  0  </w:t>
      </w: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元。</w:t>
      </w:r>
    </w:p>
    <w:p w:rsidR="00715ACB" w:rsidRPr="00715ACB" w:rsidRDefault="00715ACB" w:rsidP="00715ACB">
      <w:pPr>
        <w:widowControl/>
        <w:spacing w:line="375" w:lineRule="atLeast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黑体" w:eastAsia="黑体" w:hAnsi="Times New Roman" w:cs="宋体" w:hint="eastAsia"/>
          <w:bCs/>
          <w:color w:val="000000"/>
          <w:kern w:val="0"/>
          <w:sz w:val="32"/>
          <w:szCs w:val="32"/>
        </w:rPr>
        <w:t>五、本部门需特别说明的其他情况。</w:t>
      </w:r>
    </w:p>
    <w:p w:rsidR="00715ACB" w:rsidRPr="00715ACB" w:rsidRDefault="00715ACB" w:rsidP="00715ACB">
      <w:pPr>
        <w:widowControl/>
        <w:spacing w:line="375" w:lineRule="atLeas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15ACB">
        <w:rPr>
          <w:rFonts w:ascii="Times New Roman" w:eastAsia="仿宋_GB2312" w:hAnsi="Times New Roman" w:cs="Times New Roman" w:hint="eastAsia"/>
          <w:bCs/>
          <w:color w:val="000000"/>
          <w:kern w:val="0"/>
          <w:sz w:val="30"/>
          <w:szCs w:val="30"/>
        </w:rPr>
        <w:t>无。</w:t>
      </w:r>
    </w:p>
    <w:p w:rsidR="003E6418" w:rsidRDefault="003E6418">
      <w:bookmarkStart w:id="2" w:name="_GoBack"/>
      <w:bookmarkEnd w:id="2"/>
    </w:p>
    <w:sectPr w:rsidR="003E6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CB"/>
    <w:rsid w:val="003E6418"/>
    <w:rsid w:val="007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2017-11-15T01:47:00Z</dcterms:created>
  <dcterms:modified xsi:type="dcterms:W3CDTF">2017-11-15T01:48:00Z</dcterms:modified>
</cp:coreProperties>
</file>